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hint="eastAsia" w:ascii="Arial" w:hAnsi="Arial" w:cs="Arial"/>
          <w:b/>
          <w:bCs/>
          <w:snapToGrid w:val="0"/>
          <w:kern w:val="0"/>
          <w:sz w:val="24"/>
        </w:rPr>
        <w:t>3GPP TSG RAN WG2 Meeting #107</w:t>
      </w:r>
      <w:r>
        <w:rPr>
          <w:rFonts w:hint="eastAsia" w:ascii="Arial" w:hAnsi="Arial" w:cs="Arial"/>
          <w:b/>
          <w:bCs/>
          <w:snapToGrid w:val="0"/>
          <w:kern w:val="0"/>
          <w:sz w:val="24"/>
          <w:lang w:val="en-US" w:eastAsia="zh-CN"/>
        </w:rPr>
        <w:t>bis</w:t>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R2-19</w:t>
      </w:r>
      <w:r>
        <w:rPr>
          <w:rFonts w:hint="eastAsia" w:ascii="Arial" w:hAnsi="Arial" w:cs="Arial"/>
          <w:b/>
          <w:bCs/>
          <w:snapToGrid w:val="0"/>
          <w:kern w:val="0"/>
          <w:sz w:val="24"/>
          <w:lang w:val="en-US" w:eastAsia="zh-CN"/>
        </w:rPr>
        <w:t>xxxxx</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ChongQing, China, 14th - 18th Oct. 2019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bookmarkStart w:id="0" w:name="OLE_LINK3"/>
      <w:r>
        <w:rPr>
          <w:rFonts w:hint="eastAsia" w:ascii="Arial" w:hAnsi="Arial" w:cs="Arial"/>
          <w:b/>
          <w:bCs/>
          <w:snapToGrid w:val="0"/>
          <w:kern w:val="0"/>
          <w:sz w:val="24"/>
        </w:rPr>
        <w:t xml:space="preserve">Considerations on </w:t>
      </w:r>
      <w:r>
        <w:rPr>
          <w:rFonts w:hint="eastAsia" w:ascii="Arial" w:hAnsi="Arial" w:cs="Arial"/>
          <w:b/>
          <w:bCs/>
          <w:snapToGrid w:val="0"/>
          <w:kern w:val="0"/>
          <w:sz w:val="24"/>
          <w:lang w:val="en-US" w:eastAsia="zh-CN"/>
        </w:rPr>
        <w:t>Beam failure Recovery for SCell</w:t>
      </w:r>
      <w:r>
        <w:rPr>
          <w:rFonts w:hint="eastAsia" w:ascii="Arial" w:hAnsi="Arial" w:cs="Arial"/>
          <w:b/>
          <w:bCs/>
          <w:snapToGrid w:val="0"/>
          <w:kern w:val="0"/>
          <w:sz w:val="24"/>
        </w:rPr>
        <w:t xml:space="preserve"> </w:t>
      </w:r>
    </w:p>
    <w:bookmarkEnd w:id="0"/>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hint="eastAsia" w:ascii="Arial" w:hAnsi="Arial" w:cs="Arial"/>
          <w:b/>
          <w:bCs/>
          <w:snapToGrid w:val="0"/>
          <w:kern w:val="0"/>
          <w:sz w:val="24"/>
        </w:rPr>
        <w:tab/>
      </w:r>
      <w:r>
        <w:rPr>
          <w:rFonts w:hint="eastAsia" w:ascii="Arial" w:hAnsi="Arial" w:cs="Arial"/>
          <w:b/>
          <w:bCs/>
          <w:snapToGrid w:val="0"/>
          <w:kern w:val="0"/>
          <w:sz w:val="24"/>
          <w:lang w:val="en-US" w:eastAsia="zh-CN"/>
        </w:rPr>
        <w:t>11.16</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eastAsia"/>
          <w:sz w:val="20"/>
          <w:szCs w:val="22"/>
        </w:rPr>
      </w:pPr>
      <w:r>
        <w:rPr>
          <w:rFonts w:hint="eastAsia"/>
          <w:sz w:val="20"/>
          <w:szCs w:val="22"/>
        </w:rPr>
        <w:t>In RAN1#97 meeting , RAN 1 has discussed beam failure recovery (BFR) on SCell with DL-only. For BFR on SCell with DL only, the UE monitors the quality of an SCell. In case of declaring beam failure, the UE sends the beam failure recovery request (BFRQ), and sends failed SCell index(s) and new beam information(if present) to the NW.</w:t>
      </w:r>
    </w:p>
    <w:p>
      <w:pPr>
        <w:rPr>
          <w:sz w:val="20"/>
          <w:szCs w:val="22"/>
        </w:rPr>
      </w:pPr>
      <w:r>
        <w:rPr>
          <w:rFonts w:hint="eastAsia"/>
          <w:sz w:val="20"/>
          <w:szCs w:val="22"/>
        </w:rPr>
        <w:t>Since the beam failure recovery procedure is stretching across both MAC and PHY, thus we would like to share our views on BFR for SCell from RAN2 perspective in this contribution.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eastAsia"/>
        </w:rPr>
      </w:pPr>
      <w:bookmarkStart w:id="3" w:name="OLE_LINK1"/>
      <w:r>
        <w:rPr>
          <w:rFonts w:ascii="Arial" w:hAnsi="Arial" w:cs="Arial"/>
          <w:b w:val="0"/>
          <w:bCs w:val="0"/>
          <w:kern w:val="0"/>
          <w:sz w:val="32"/>
          <w:szCs w:val="36"/>
        </w:rPr>
        <w:t>Discussion</w:t>
      </w:r>
    </w:p>
    <w:p>
      <w:pPr>
        <w:rPr>
          <w:rFonts w:hint="eastAsia"/>
          <w:b/>
          <w:bCs/>
          <w:sz w:val="21"/>
          <w:szCs w:val="21"/>
          <w:u w:val="single"/>
          <w:lang w:val="en-US" w:eastAsia="zh-CN"/>
        </w:rPr>
      </w:pPr>
      <w:r>
        <w:rPr>
          <w:rFonts w:hint="eastAsia"/>
          <w:b/>
          <w:bCs/>
          <w:sz w:val="21"/>
          <w:szCs w:val="21"/>
          <w:u w:val="single"/>
          <w:lang w:val="en-US" w:eastAsia="zh-CN"/>
        </w:rPr>
        <w:t>Issue 1: The beam failure detection on SCell</w:t>
      </w:r>
    </w:p>
    <w:p>
      <w:pPr>
        <w:rPr>
          <w:rFonts w:hint="eastAsia"/>
          <w:b w:val="0"/>
          <w:bCs w:val="0"/>
          <w:sz w:val="21"/>
          <w:szCs w:val="21"/>
          <w:u w:val="none"/>
          <w:lang w:val="en-US" w:eastAsia="zh-CN"/>
        </w:rPr>
      </w:pPr>
      <w:r>
        <w:rPr>
          <w:rFonts w:hint="eastAsia"/>
          <w:b w:val="0"/>
          <w:bCs w:val="0"/>
          <w:sz w:val="21"/>
          <w:szCs w:val="21"/>
          <w:u w:val="none"/>
          <w:lang w:val="en-US" w:eastAsia="zh-CN"/>
        </w:rPr>
        <w:t>As a whole beam failure procedure , it can be split into two parts:</w:t>
      </w:r>
    </w:p>
    <w:p>
      <w:pPr>
        <w:numPr>
          <w:ilvl w:val="0"/>
          <w:numId w:val="4"/>
        </w:numPr>
        <w:ind w:left="420" w:leftChars="0" w:hanging="420" w:firstLineChars="0"/>
        <w:rPr>
          <w:rFonts w:hint="eastAsia"/>
          <w:b w:val="0"/>
          <w:bCs w:val="0"/>
          <w:sz w:val="21"/>
          <w:szCs w:val="21"/>
          <w:u w:val="none"/>
          <w:lang w:val="en-US" w:eastAsia="zh-CN"/>
        </w:rPr>
      </w:pPr>
      <w:r>
        <w:rPr>
          <w:rFonts w:hint="eastAsia"/>
          <w:b w:val="0"/>
          <w:bCs w:val="0"/>
          <w:sz w:val="21"/>
          <w:szCs w:val="21"/>
          <w:u w:val="none"/>
          <w:lang w:val="en-US" w:eastAsia="zh-CN"/>
        </w:rPr>
        <w:t>I: Beam failure detection procedure</w:t>
      </w:r>
    </w:p>
    <w:p>
      <w:pPr>
        <w:numPr>
          <w:ilvl w:val="0"/>
          <w:numId w:val="4"/>
        </w:numPr>
        <w:ind w:left="420" w:leftChars="0" w:hanging="420" w:firstLineChars="0"/>
        <w:rPr>
          <w:rFonts w:hint="eastAsia"/>
          <w:b w:val="0"/>
          <w:bCs w:val="0"/>
          <w:sz w:val="21"/>
          <w:szCs w:val="21"/>
          <w:u w:val="none"/>
          <w:lang w:val="en-US" w:eastAsia="zh-CN"/>
        </w:rPr>
      </w:pPr>
      <w:r>
        <w:rPr>
          <w:rFonts w:hint="eastAsia"/>
          <w:b w:val="0"/>
          <w:bCs w:val="0"/>
          <w:sz w:val="21"/>
          <w:szCs w:val="21"/>
          <w:u w:val="none"/>
          <w:lang w:val="en-US" w:eastAsia="zh-CN"/>
        </w:rPr>
        <w:t>II: Beam failure recovery procedure</w:t>
      </w:r>
    </w:p>
    <w:p>
      <w:pPr>
        <w:rPr>
          <w:rFonts w:hint="eastAsia"/>
          <w:b w:val="0"/>
          <w:bCs w:val="0"/>
          <w:sz w:val="21"/>
          <w:szCs w:val="21"/>
          <w:u w:val="none"/>
          <w:lang w:val="en-US" w:eastAsia="zh-CN"/>
        </w:rPr>
      </w:pPr>
      <w:r>
        <w:rPr>
          <w:rFonts w:hint="eastAsia"/>
          <w:b w:val="0"/>
          <w:bCs w:val="0"/>
          <w:sz w:val="21"/>
          <w:szCs w:val="21"/>
          <w:u w:val="none"/>
          <w:lang w:val="en-US" w:eastAsia="zh-CN"/>
        </w:rPr>
        <w:t>For the first part, RAN 2 have already defined the beam failure detection procedure for SpCell, as shown in below:</w:t>
      </w:r>
      <w:r>
        <w:rPr>
          <w:rFonts w:hint="eastAsia"/>
          <w:b w:val="0"/>
          <w:bCs w:val="0"/>
          <w:sz w:val="21"/>
          <w:szCs w:val="21"/>
          <w:u w:val="none"/>
          <w:lang w:val="en-US" w:eastAsia="zh-CN"/>
        </w:rPr>
        <w:br w:type="textWrapping"/>
      </w:r>
      <w:r>
        <w:rPr>
          <w:rFonts w:hint="eastAsia"/>
          <w:b w:val="0"/>
          <w:bCs w:val="0"/>
          <w:sz w:val="21"/>
          <w:szCs w:val="21"/>
          <w:u w:val="none"/>
          <w:lang w:val="en-US" w:eastAsia="zh-CN"/>
        </w:rPr>
        <w:t>-------------------------------From 38.321 --------------------------------------------------</w:t>
      </w:r>
    </w:p>
    <w:p>
      <w:pPr>
        <w:rPr>
          <w:lang w:eastAsia="ko-KR"/>
        </w:rPr>
      </w:pPr>
      <w:r>
        <w:rPr>
          <w:lang w:eastAsia="ko-KR"/>
        </w:rPr>
        <w:t>The MAC entity shall:</w:t>
      </w:r>
    </w:p>
    <w:p>
      <w:pPr>
        <w:pStyle w:val="94"/>
        <w:rPr>
          <w:lang w:eastAsia="ko-KR"/>
        </w:rPr>
      </w:pPr>
      <w:r>
        <w:rPr>
          <w:lang w:eastAsia="ko-KR"/>
        </w:rPr>
        <w:t>1&gt;</w:t>
      </w:r>
      <w:r>
        <w:rPr>
          <w:lang w:eastAsia="ko-KR"/>
        </w:rPr>
        <w:tab/>
      </w:r>
      <w:r>
        <w:rPr>
          <w:lang w:eastAsia="ko-KR"/>
        </w:rPr>
        <w:t>if beam failure instance indication has been received from lower layers:</w:t>
      </w:r>
    </w:p>
    <w:p>
      <w:pPr>
        <w:pStyle w:val="106"/>
        <w:rPr>
          <w:lang w:eastAsia="ko-KR"/>
        </w:rPr>
      </w:pPr>
      <w:r>
        <w:rPr>
          <w:lang w:eastAsia="ko-KR"/>
        </w:rPr>
        <w:t>2&gt;</w:t>
      </w:r>
      <w:r>
        <w:rPr>
          <w:lang w:eastAsia="ko-KR"/>
        </w:rPr>
        <w:tab/>
      </w:r>
      <w:r>
        <w:rPr>
          <w:lang w:eastAsia="ko-KR"/>
        </w:rPr>
        <w:t xml:space="preserve">start or restart the </w:t>
      </w:r>
      <w:r>
        <w:rPr>
          <w:i/>
          <w:lang w:eastAsia="ko-KR"/>
        </w:rPr>
        <w:t>beamFailureDetectionTimer</w:t>
      </w:r>
      <w:r>
        <w:rPr>
          <w:lang w:eastAsia="ko-KR"/>
        </w:rPr>
        <w:t>;</w:t>
      </w:r>
    </w:p>
    <w:p>
      <w:pPr>
        <w:pStyle w:val="106"/>
        <w:rPr>
          <w:lang w:eastAsia="ko-KR"/>
        </w:rPr>
      </w:pPr>
      <w:r>
        <w:rPr>
          <w:lang w:eastAsia="ko-KR"/>
        </w:rPr>
        <w:t>2&gt;</w:t>
      </w:r>
      <w:r>
        <w:rPr>
          <w:lang w:eastAsia="ko-KR"/>
        </w:rPr>
        <w:tab/>
      </w:r>
      <w:r>
        <w:rPr>
          <w:lang w:eastAsia="ko-KR"/>
        </w:rPr>
        <w:t xml:space="preserve">increment </w:t>
      </w:r>
      <w:r>
        <w:rPr>
          <w:i/>
          <w:lang w:eastAsia="ko-KR"/>
        </w:rPr>
        <w:t>BFI_COUNTER</w:t>
      </w:r>
      <w:r>
        <w:rPr>
          <w:lang w:eastAsia="ko-KR"/>
        </w:rPr>
        <w:t xml:space="preserve"> by 1;</w:t>
      </w:r>
    </w:p>
    <w:p>
      <w:pPr>
        <w:pStyle w:val="106"/>
        <w:rPr>
          <w:lang w:eastAsia="ko-KR"/>
        </w:rPr>
      </w:pPr>
      <w:r>
        <w:rPr>
          <w:lang w:eastAsia="ko-KR"/>
        </w:rPr>
        <w:t>2&gt;</w:t>
      </w:r>
      <w:r>
        <w:rPr>
          <w:lang w:eastAsia="ko-KR"/>
        </w:rPr>
        <w:tab/>
      </w:r>
      <w:r>
        <w:rPr>
          <w:lang w:eastAsia="ko-KR"/>
        </w:rPr>
        <w:t xml:space="preserve">if </w:t>
      </w:r>
      <w:r>
        <w:rPr>
          <w:i/>
          <w:lang w:eastAsia="ko-KR"/>
        </w:rPr>
        <w:t>BFI_COUNTER</w:t>
      </w:r>
      <w:r>
        <w:rPr>
          <w:lang w:eastAsia="ko-KR"/>
        </w:rPr>
        <w:t xml:space="preserve"> &gt;= </w:t>
      </w:r>
      <w:r>
        <w:rPr>
          <w:i/>
          <w:lang w:eastAsia="ko-KR"/>
        </w:rPr>
        <w:t>beamFailureInstanceMaxCount</w:t>
      </w:r>
      <w:r>
        <w:rPr>
          <w:lang w:eastAsia="ko-KR"/>
        </w:rPr>
        <w:t>:</w:t>
      </w:r>
    </w:p>
    <w:p>
      <w:pPr>
        <w:pStyle w:val="123"/>
        <w:rPr>
          <w:lang w:eastAsia="ko-KR"/>
        </w:rPr>
      </w:pPr>
      <w:r>
        <w:rPr>
          <w:lang w:eastAsia="ko-KR"/>
        </w:rPr>
        <w:t>3&gt;</w:t>
      </w:r>
      <w:r>
        <w:rPr>
          <w:lang w:eastAsia="ko-KR"/>
        </w:rPr>
        <w:tab/>
      </w:r>
      <w:r>
        <w:rPr>
          <w:lang w:eastAsia="ko-KR"/>
        </w:rPr>
        <w:t>initiate a Random Access procedure (see subclause 5.1) on the SpCell.</w:t>
      </w:r>
    </w:p>
    <w:p>
      <w:pPr>
        <w:rPr>
          <w:rFonts w:hint="default"/>
          <w:b w:val="0"/>
          <w:bCs w:val="0"/>
          <w:sz w:val="21"/>
          <w:szCs w:val="21"/>
          <w:u w:val="none"/>
          <w:lang w:val="en-US" w:eastAsia="zh-CN"/>
        </w:rPr>
      </w:pPr>
      <w:r>
        <w:rPr>
          <w:rFonts w:hint="eastAsia"/>
          <w:b w:val="0"/>
          <w:bCs w:val="0"/>
          <w:sz w:val="21"/>
          <w:szCs w:val="21"/>
          <w:u w:val="none"/>
          <w:lang w:val="en-US" w:eastAsia="zh-CN"/>
        </w:rPr>
        <w:t>---------------------------From 38.321 ---------------------------------------------------------------</w:t>
      </w:r>
    </w:p>
    <w:p>
      <w:pPr>
        <w:rPr>
          <w:rFonts w:hint="eastAsia"/>
          <w:b w:val="0"/>
          <w:bCs w:val="0"/>
          <w:sz w:val="21"/>
          <w:szCs w:val="21"/>
          <w:u w:val="none"/>
          <w:lang w:val="en-US" w:eastAsia="zh-CN"/>
        </w:rPr>
      </w:pPr>
      <w:r>
        <w:rPr>
          <w:rFonts w:hint="eastAsia"/>
          <w:b w:val="0"/>
          <w:bCs w:val="0"/>
          <w:sz w:val="21"/>
          <w:szCs w:val="21"/>
          <w:u w:val="none"/>
          <w:lang w:val="en-US" w:eastAsia="zh-CN"/>
        </w:rPr>
        <w:t>Regarding the beam failure detection for SCell, for saving the time consumption of discussion, beam failure detection procedure for SpCell can be directly reused for the BFD procedure for SCell .</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eastAsia"/>
          <w:b/>
          <w:bCs/>
          <w:lang w:val="en-US" w:eastAsia="zh-CN"/>
        </w:rPr>
      </w:pPr>
      <w:r>
        <w:rPr>
          <w:rFonts w:hint="eastAsia"/>
          <w:b/>
          <w:bCs/>
          <w:lang w:val="en-US" w:eastAsia="zh-CN"/>
        </w:rPr>
        <w:t xml:space="preserve">Proposal 1: The beam failure detection method defined for SpCell can be reused for SCell. </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eastAsia"/>
          <w:b w:val="0"/>
          <w:bCs w:val="0"/>
          <w:lang w:val="en-US" w:eastAsia="zh-CN"/>
        </w:rPr>
      </w:pPr>
      <w:r>
        <w:rPr>
          <w:rFonts w:hint="eastAsia"/>
          <w:b w:val="0"/>
          <w:bCs w:val="0"/>
          <w:lang w:val="en-US" w:eastAsia="zh-CN"/>
        </w:rPr>
        <w:t>From proposal 1, if the current beam failure detection mechanism is reused for SCell, the configuration of following parameters shall be taken into account:</w:t>
      </w:r>
    </w:p>
    <w:p>
      <w:pPr>
        <w:pStyle w:val="94"/>
        <w:ind w:left="284" w:leftChars="0" w:hanging="284" w:firstLineChars="0"/>
        <w:rPr>
          <w:lang w:eastAsia="ko-KR"/>
        </w:rPr>
      </w:pPr>
      <w:r>
        <w:rPr>
          <w:lang w:eastAsia="ko-KR"/>
        </w:rPr>
        <w:t>-</w:t>
      </w:r>
      <w:r>
        <w:rPr>
          <w:lang w:eastAsia="ko-KR"/>
        </w:rPr>
        <w:tab/>
      </w:r>
      <w:r>
        <w:rPr>
          <w:i/>
          <w:lang w:eastAsia="ko-KR"/>
        </w:rPr>
        <w:t>beamFailureInstanceMaxCount</w:t>
      </w:r>
      <w:r>
        <w:rPr>
          <w:lang w:eastAsia="ko-KR"/>
        </w:rPr>
        <w:t xml:space="preserve"> for the beam failure detection;</w:t>
      </w:r>
    </w:p>
    <w:p>
      <w:pPr>
        <w:pStyle w:val="94"/>
        <w:ind w:left="284" w:leftChars="0" w:hanging="284" w:firstLineChars="0"/>
        <w:rPr>
          <w:lang w:eastAsia="ko-KR"/>
        </w:rPr>
      </w:pPr>
      <w:r>
        <w:rPr>
          <w:lang w:eastAsia="ko-KR"/>
        </w:rPr>
        <w:t>-</w:t>
      </w:r>
      <w:r>
        <w:rPr>
          <w:lang w:eastAsia="ko-KR"/>
        </w:rPr>
        <w:tab/>
      </w:r>
      <w:r>
        <w:rPr>
          <w:i/>
          <w:lang w:eastAsia="ko-KR"/>
        </w:rPr>
        <w:t>beamFailureDetectionTimer</w:t>
      </w:r>
      <w:r>
        <w:rPr>
          <w:lang w:eastAsia="ko-KR"/>
        </w:rPr>
        <w:t xml:space="preserve"> for the beam failure detection;</w:t>
      </w:r>
    </w:p>
    <w:p>
      <w:pPr>
        <w:pStyle w:val="94"/>
        <w:ind w:left="0" w:leftChars="0" w:firstLine="0" w:firstLineChars="0"/>
        <w:rPr>
          <w:rFonts w:hint="default"/>
          <w:b w:val="0"/>
          <w:bCs w:val="0"/>
          <w:lang w:val="en-US" w:eastAsia="zh-CN"/>
        </w:rPr>
      </w:pPr>
      <w:r>
        <w:rPr>
          <w:rFonts w:hint="eastAsia" w:eastAsia="宋体"/>
          <w:lang w:val="en-US" w:eastAsia="zh-CN"/>
        </w:rPr>
        <w:t xml:space="preserve">Since the </w:t>
      </w:r>
      <w:r>
        <w:rPr>
          <w:i/>
          <w:lang w:eastAsia="ko-KR"/>
        </w:rPr>
        <w:t>beamFailureDetectionTimer</w:t>
      </w:r>
      <w:r>
        <w:rPr>
          <w:rFonts w:hint="eastAsia" w:eastAsia="宋体"/>
          <w:lang w:val="en-US" w:eastAsia="zh-CN"/>
        </w:rPr>
        <w:t xml:space="preserve"> is related to the periodic of CSI/SSB, each SCell my be configured with different CSI/SSB, thus </w:t>
      </w:r>
      <w:r>
        <w:rPr>
          <w:i/>
          <w:lang w:eastAsia="ko-KR"/>
        </w:rPr>
        <w:t>beamFailureDetectionTimer</w:t>
      </w:r>
      <w:r>
        <w:rPr>
          <w:rFonts w:hint="eastAsia" w:eastAsia="宋体"/>
          <w:i/>
          <w:lang w:val="en-US" w:eastAsia="zh-CN"/>
        </w:rPr>
        <w:t xml:space="preserve"> </w:t>
      </w:r>
      <w:r>
        <w:rPr>
          <w:rFonts w:hint="eastAsia" w:eastAsia="宋体"/>
          <w:i w:val="0"/>
          <w:iCs/>
          <w:lang w:val="en-US" w:eastAsia="zh-CN"/>
        </w:rPr>
        <w:t xml:space="preserve">shall be configured per SCell. As for the </w:t>
      </w:r>
      <w:r>
        <w:rPr>
          <w:rFonts w:hint="eastAsia"/>
          <w:b w:val="0"/>
          <w:bCs w:val="0"/>
          <w:lang w:val="en-US" w:eastAsia="zh-CN"/>
        </w:rPr>
        <w:t xml:space="preserve"> </w:t>
      </w:r>
      <w:r>
        <w:rPr>
          <w:i/>
          <w:lang w:eastAsia="ko-KR"/>
        </w:rPr>
        <w:t>beamFailureInstanceMaxCount</w:t>
      </w:r>
      <w:r>
        <w:rPr>
          <w:lang w:eastAsia="ko-KR"/>
        </w:rPr>
        <w:t xml:space="preserve"> </w:t>
      </w:r>
      <w:r>
        <w:rPr>
          <w:rFonts w:hint="eastAsia" w:eastAsia="宋体"/>
          <w:lang w:val="en-US" w:eastAsia="zh-CN"/>
        </w:rPr>
        <w:t xml:space="preserve">, considering the </w:t>
      </w:r>
      <w:r>
        <w:rPr>
          <w:i/>
          <w:lang w:eastAsia="ko-KR"/>
        </w:rPr>
        <w:t>beamFailureDetectionTimer</w:t>
      </w:r>
      <w:r>
        <w:rPr>
          <w:rFonts w:hint="eastAsia" w:eastAsia="宋体"/>
          <w:i/>
          <w:lang w:val="en-US" w:eastAsia="zh-CN"/>
        </w:rPr>
        <w:t xml:space="preserve"> </w:t>
      </w:r>
      <w:r>
        <w:rPr>
          <w:rFonts w:hint="eastAsia" w:eastAsia="宋体"/>
          <w:i w:val="0"/>
          <w:iCs/>
          <w:lang w:val="en-US" w:eastAsia="zh-CN"/>
        </w:rPr>
        <w:t xml:space="preserve">is configured per cell, some cells may be configured dense CSI resources but other cell may be sparse, which means, if we configure a public </w:t>
      </w:r>
      <w:r>
        <w:rPr>
          <w:rFonts w:hint="eastAsia" w:eastAsia="宋体"/>
          <w:i/>
          <w:lang w:val="en-US" w:eastAsia="zh-CN"/>
        </w:rPr>
        <w:t xml:space="preserve"> </w:t>
      </w:r>
      <w:r>
        <w:rPr>
          <w:i/>
          <w:lang w:eastAsia="ko-KR"/>
        </w:rPr>
        <w:t>beamFailureInstanceMaxCount</w:t>
      </w:r>
      <w:r>
        <w:rPr>
          <w:rFonts w:hint="eastAsia" w:eastAsia="宋体"/>
          <w:i/>
          <w:lang w:val="en-US" w:eastAsia="zh-CN"/>
        </w:rPr>
        <w:t xml:space="preserve"> , </w:t>
      </w:r>
      <w:r>
        <w:rPr>
          <w:rFonts w:hint="eastAsia" w:eastAsia="宋体"/>
          <w:i w:val="0"/>
          <w:iCs/>
          <w:lang w:val="en-US" w:eastAsia="zh-CN"/>
        </w:rPr>
        <w:t xml:space="preserve">which may force UE frequently start BFR on some cells with dense CSI/SSB resource or seldom start BFR on some cells with sparse CSI/SSB resources. Thus we suggest to configure </w:t>
      </w:r>
      <w:r>
        <w:rPr>
          <w:i/>
          <w:lang w:eastAsia="ko-KR"/>
        </w:rPr>
        <w:t>beamFailureInstanceMaxCount</w:t>
      </w:r>
      <w:r>
        <w:rPr>
          <w:rFonts w:hint="eastAsia" w:eastAsia="宋体"/>
          <w:i/>
          <w:lang w:val="en-US" w:eastAsia="zh-CN"/>
        </w:rPr>
        <w:t xml:space="preserve"> </w:t>
      </w:r>
      <w:r>
        <w:rPr>
          <w:rFonts w:hint="eastAsia" w:eastAsia="宋体"/>
          <w:i w:val="0"/>
          <w:iCs/>
          <w:lang w:val="en-US" w:eastAsia="zh-CN"/>
        </w:rPr>
        <w:t>per cell</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eastAsia"/>
          <w:b/>
          <w:bCs/>
          <w:sz w:val="20"/>
          <w:szCs w:val="20"/>
          <w:lang w:val="en-US" w:eastAsia="zh-CN"/>
        </w:rPr>
      </w:pPr>
      <w:r>
        <w:rPr>
          <w:rFonts w:hint="eastAsia"/>
          <w:b/>
          <w:bCs/>
          <w:sz w:val="20"/>
          <w:szCs w:val="20"/>
          <w:lang w:val="en-US" w:eastAsia="zh-CN"/>
        </w:rPr>
        <w:t>Proposal 2: The BFR detection related timer/counter will be maintained per SCell, and the value for the timer/counter shall be configured separately per cell.</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default"/>
          <w:b/>
          <w:bCs/>
          <w:sz w:val="20"/>
          <w:szCs w:val="20"/>
          <w:u w:val="single"/>
          <w:lang w:val="en-US" w:eastAsia="zh-CN"/>
        </w:rPr>
      </w:pPr>
      <w:r>
        <w:rPr>
          <w:rFonts w:hint="eastAsia"/>
          <w:b/>
          <w:bCs/>
          <w:sz w:val="20"/>
          <w:szCs w:val="20"/>
          <w:u w:val="single"/>
          <w:lang w:val="en-US" w:eastAsia="zh-CN"/>
        </w:rPr>
        <w:t>Issue 2: Beam failure recovery procedure for SCell</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eastAsia"/>
          <w:b w:val="0"/>
          <w:bCs w:val="0"/>
          <w:sz w:val="20"/>
          <w:szCs w:val="20"/>
          <w:lang w:val="en-US" w:eastAsia="zh-CN"/>
        </w:rPr>
      </w:pPr>
      <w:r>
        <w:rPr>
          <w:rFonts w:hint="eastAsia"/>
          <w:b w:val="0"/>
          <w:bCs w:val="0"/>
          <w:sz w:val="20"/>
          <w:szCs w:val="20"/>
          <w:lang w:val="en-US" w:eastAsia="zh-CN"/>
        </w:rPr>
        <w:t>Based on RAN1</w:t>
      </w:r>
      <w:r>
        <w:rPr>
          <w:rFonts w:hint="default"/>
          <w:b w:val="0"/>
          <w:bCs w:val="0"/>
          <w:sz w:val="20"/>
          <w:szCs w:val="20"/>
          <w:lang w:val="en-US" w:eastAsia="zh-CN"/>
        </w:rPr>
        <w:t>’</w:t>
      </w:r>
      <w:r>
        <w:rPr>
          <w:rFonts w:hint="eastAsia"/>
          <w:b w:val="0"/>
          <w:bCs w:val="0"/>
          <w:sz w:val="20"/>
          <w:szCs w:val="20"/>
          <w:lang w:val="en-US" w:eastAsia="zh-CN"/>
        </w:rPr>
        <w:t>s reply to LS from RAN2:</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default"/>
          <w:b w:val="0"/>
          <w:bCs w:val="0"/>
          <w:sz w:val="20"/>
          <w:szCs w:val="20"/>
          <w:lang w:val="en-US" w:eastAsia="zh-CN"/>
        </w:rPr>
      </w:pPr>
      <w:r>
        <w:rPr>
          <w:rFonts w:hint="eastAsia"/>
          <w:b w:val="0"/>
          <w:bCs w:val="0"/>
          <w:sz w:val="20"/>
          <w:szCs w:val="20"/>
          <w:lang w:val="en-US" w:eastAsia="zh-CN"/>
        </w:rPr>
        <w:t>======================================================================================</w:t>
      </w:r>
    </w:p>
    <w:p>
      <w:pPr>
        <w:pStyle w:val="39"/>
        <w:pBdr>
          <w:bottom w:val="none" w:color="auto" w:sz="0" w:space="1"/>
        </w:pBdr>
        <w:tabs>
          <w:tab w:val="center" w:pos="4536"/>
          <w:tab w:val="right" w:pos="9072"/>
          <w:tab w:val="clear" w:pos="4153"/>
          <w:tab w:val="clear" w:pos="8306"/>
        </w:tabs>
        <w:jc w:val="left"/>
        <w:rPr>
          <w:sz w:val="18"/>
          <w:szCs w:val="18"/>
          <w:lang w:val="en-US"/>
        </w:rPr>
      </w:pPr>
      <w:r>
        <w:rPr>
          <w:b/>
          <w:sz w:val="18"/>
          <w:szCs w:val="18"/>
          <w:lang w:val="en-US"/>
        </w:rPr>
        <w:t>Q2:</w:t>
      </w:r>
      <w:r>
        <w:rPr>
          <w:sz w:val="18"/>
          <w:szCs w:val="18"/>
          <w:lang w:val="en-US"/>
        </w:rPr>
        <w:t xml:space="preserve"> If the UE already has the UL grant on serving cell(s) on which BFR MAC CE can be transmitted based on the answer to question 1, is the UE still required to transmit SR-like indication for BFR?</w:t>
      </w:r>
    </w:p>
    <w:p>
      <w:pPr>
        <w:pStyle w:val="39"/>
        <w:pBdr>
          <w:bottom w:val="none" w:color="auto" w:sz="0" w:space="1"/>
        </w:pBdr>
        <w:tabs>
          <w:tab w:val="center" w:pos="4536"/>
          <w:tab w:val="right" w:pos="9072"/>
          <w:tab w:val="clear" w:pos="4153"/>
          <w:tab w:val="clear" w:pos="8306"/>
        </w:tabs>
        <w:jc w:val="left"/>
        <w:rPr>
          <w:sz w:val="18"/>
          <w:szCs w:val="18"/>
          <w:lang w:val="en-US"/>
        </w:rPr>
      </w:pPr>
      <w:r>
        <w:rPr>
          <w:b/>
          <w:sz w:val="18"/>
          <w:szCs w:val="18"/>
          <w:lang w:val="en-US"/>
        </w:rPr>
        <w:t xml:space="preserve">R2: </w:t>
      </w:r>
      <w:r>
        <w:rPr>
          <w:sz w:val="18"/>
          <w:szCs w:val="18"/>
          <w:lang w:val="en-US"/>
        </w:rPr>
        <w:t>In this case, UE is not required to transmit SR-like indication for SCell BFR.</w:t>
      </w:r>
    </w:p>
    <w:p>
      <w:pPr>
        <w:pStyle w:val="39"/>
        <w:pBdr>
          <w:bottom w:val="none" w:color="auto" w:sz="0" w:space="1"/>
        </w:pBdr>
        <w:tabs>
          <w:tab w:val="center" w:pos="4536"/>
          <w:tab w:val="right" w:pos="9072"/>
          <w:tab w:val="clear" w:pos="4153"/>
          <w:tab w:val="clear" w:pos="8306"/>
        </w:tabs>
        <w:jc w:val="left"/>
        <w:rPr>
          <w:rFonts w:hint="default" w:eastAsiaTheme="minorEastAsia"/>
          <w:sz w:val="18"/>
          <w:szCs w:val="18"/>
          <w:lang w:val="en-US" w:eastAsia="zh-CN"/>
        </w:rPr>
      </w:pPr>
      <w:r>
        <w:rPr>
          <w:rFonts w:hint="eastAsia"/>
          <w:sz w:val="18"/>
          <w:szCs w:val="18"/>
          <w:lang w:val="en-US" w:eastAsia="zh-CN"/>
        </w:rPr>
        <w:t>================================================================================================</w:t>
      </w:r>
    </w:p>
    <w:p>
      <w:pPr>
        <w:pStyle w:val="39"/>
        <w:pBdr>
          <w:bottom w:val="none" w:color="auto" w:sz="0" w:space="1"/>
        </w:pBdr>
        <w:tabs>
          <w:tab w:val="center" w:pos="4536"/>
          <w:tab w:val="right" w:pos="9072"/>
          <w:tab w:val="clear" w:pos="4153"/>
          <w:tab w:val="clear" w:pos="8306"/>
        </w:tabs>
        <w:jc w:val="left"/>
        <w:rPr>
          <w:rFonts w:hint="eastAsia"/>
          <w:sz w:val="20"/>
          <w:szCs w:val="20"/>
          <w:lang w:val="en-US" w:eastAsia="zh-CN"/>
        </w:rPr>
      </w:pPr>
      <w:r>
        <w:rPr>
          <w:rFonts w:hint="eastAsia"/>
          <w:sz w:val="20"/>
          <w:szCs w:val="20"/>
          <w:lang w:val="en-US" w:eastAsia="zh-CN"/>
        </w:rPr>
        <w:t>The common understanding for relationship between BFRQ MAC CE and PUSCCH SR is keeping aligned in both RAN1 and RAN2,therefore, the BFR procedure can be generalized as following steps:</w:t>
      </w:r>
    </w:p>
    <w:p>
      <w:pPr>
        <w:pStyle w:val="39"/>
        <w:numPr>
          <w:ilvl w:val="0"/>
          <w:numId w:val="4"/>
        </w:numPr>
        <w:pBdr>
          <w:bottom w:val="none" w:color="auto" w:sz="0" w:space="1"/>
        </w:pBdr>
        <w:tabs>
          <w:tab w:val="center" w:pos="4536"/>
          <w:tab w:val="right" w:pos="9072"/>
          <w:tab w:val="clear" w:pos="4153"/>
          <w:tab w:val="clear" w:pos="8306"/>
        </w:tabs>
        <w:ind w:left="420" w:leftChars="0" w:hanging="420" w:firstLineChars="0"/>
        <w:jc w:val="left"/>
        <w:rPr>
          <w:rFonts w:hint="eastAsia"/>
          <w:sz w:val="20"/>
          <w:szCs w:val="20"/>
          <w:lang w:val="en-US" w:eastAsia="zh-CN"/>
        </w:rPr>
      </w:pPr>
      <w:r>
        <w:rPr>
          <w:rFonts w:hint="eastAsia"/>
          <w:sz w:val="20"/>
          <w:szCs w:val="20"/>
          <w:lang w:val="en-US" w:eastAsia="zh-CN"/>
        </w:rPr>
        <w:t>Step 1: If beam failure for at least one SCell is detected, one BFRQ MAC CE is triggered.</w:t>
      </w:r>
    </w:p>
    <w:p>
      <w:pPr>
        <w:pStyle w:val="39"/>
        <w:numPr>
          <w:ilvl w:val="0"/>
          <w:numId w:val="4"/>
        </w:numPr>
        <w:pBdr>
          <w:bottom w:val="none" w:color="auto" w:sz="0" w:space="1"/>
        </w:pBdr>
        <w:tabs>
          <w:tab w:val="center" w:pos="4536"/>
          <w:tab w:val="right" w:pos="9072"/>
          <w:tab w:val="clear" w:pos="4153"/>
          <w:tab w:val="clear" w:pos="8306"/>
        </w:tabs>
        <w:ind w:left="420" w:leftChars="0" w:hanging="420" w:firstLineChars="0"/>
        <w:jc w:val="left"/>
        <w:rPr>
          <w:rFonts w:hint="default"/>
          <w:sz w:val="20"/>
          <w:szCs w:val="20"/>
          <w:lang w:val="en-US" w:eastAsia="zh-CN"/>
        </w:rPr>
      </w:pPr>
      <w:r>
        <w:rPr>
          <w:rFonts w:hint="eastAsia"/>
          <w:sz w:val="20"/>
          <w:szCs w:val="20"/>
          <w:lang w:val="en-US" w:eastAsia="zh-CN"/>
        </w:rPr>
        <w:t>Step 2: if there is no available PUSCH resources for transmitting this BFRQ MAC CE, one SR-like PUCCH is triggered</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center"/>
        <w:textAlignment w:val="baseline"/>
      </w:pPr>
      <w:r>
        <w:drawing>
          <wp:inline distT="0" distB="0" distL="114300" distR="114300">
            <wp:extent cx="5351780" cy="492125"/>
            <wp:effectExtent l="0" t="0" r="1270" b="317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7"/>
                    <a:stretch>
                      <a:fillRect/>
                    </a:stretch>
                  </pic:blipFill>
                  <pic:spPr>
                    <a:xfrm>
                      <a:off x="0" y="0"/>
                      <a:ext cx="5351780" cy="492125"/>
                    </a:xfrm>
                    <a:prstGeom prst="rect">
                      <a:avLst/>
                    </a:prstGeom>
                    <a:noFill/>
                    <a:ln>
                      <a:noFill/>
                    </a:ln>
                  </pic:spPr>
                </pic:pic>
              </a:graphicData>
            </a:graphic>
          </wp:inline>
        </w:drawing>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center"/>
        <w:textAlignment w:val="baseline"/>
        <w:rPr>
          <w:rFonts w:hint="default" w:eastAsiaTheme="minorEastAsia"/>
          <w:lang w:val="en-US" w:eastAsia="zh-CN"/>
        </w:rPr>
      </w:pPr>
      <w:r>
        <w:rPr>
          <w:rFonts w:hint="eastAsia"/>
          <w:lang w:val="en-US" w:eastAsia="zh-CN"/>
        </w:rPr>
        <w:t>Fig.1 The chart flow for BFR on SCell</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default"/>
          <w:b w:val="0"/>
          <w:bCs w:val="0"/>
          <w:sz w:val="20"/>
          <w:szCs w:val="20"/>
          <w:lang w:val="en-US" w:eastAsia="zh-CN"/>
        </w:rPr>
      </w:pP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default"/>
          <w:b w:val="0"/>
          <w:bCs w:val="0"/>
          <w:sz w:val="20"/>
          <w:szCs w:val="20"/>
          <w:lang w:val="en-US" w:eastAsia="zh-CN"/>
        </w:rPr>
      </w:pPr>
      <w:r>
        <w:rPr>
          <w:rFonts w:hint="eastAsia"/>
          <w:b w:val="0"/>
          <w:bCs w:val="0"/>
          <w:sz w:val="20"/>
          <w:szCs w:val="20"/>
          <w:lang w:val="en-US" w:eastAsia="zh-CN"/>
        </w:rPr>
        <w:t>Hence we propose that:</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eastAsia"/>
          <w:b/>
          <w:bCs/>
          <w:sz w:val="21"/>
          <w:szCs w:val="21"/>
          <w:lang w:val="en-US" w:eastAsia="zh-CN"/>
        </w:rPr>
      </w:pPr>
      <w:r>
        <w:rPr>
          <w:rFonts w:hint="eastAsia"/>
          <w:b/>
          <w:bCs/>
          <w:sz w:val="21"/>
          <w:szCs w:val="21"/>
          <w:lang w:val="en-US" w:eastAsia="zh-CN"/>
        </w:rPr>
        <w:t xml:space="preserve">Proposal 3: In case beam failure is detected on SCell, BFRQ MAC CE shall be triggered. </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eastAsia"/>
          <w:b/>
          <w:bCs/>
          <w:sz w:val="21"/>
          <w:szCs w:val="21"/>
          <w:lang w:val="en-US" w:eastAsia="zh-CN"/>
        </w:rPr>
      </w:pPr>
      <w:r>
        <w:rPr>
          <w:rFonts w:hint="eastAsia"/>
          <w:b/>
          <w:bCs/>
          <w:sz w:val="21"/>
          <w:szCs w:val="21"/>
          <w:lang w:val="en-US" w:eastAsia="zh-CN"/>
        </w:rPr>
        <w:t>Proposal 4: Once the BFRQ MAC CE is triggered, if there is no available PUSCH resources for the transmission of BFRQ MAC CE, the SR for BFRQ shall be triggered.</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eastAsia"/>
          <w:b w:val="0"/>
          <w:bCs w:val="0"/>
          <w:sz w:val="21"/>
          <w:szCs w:val="21"/>
          <w:lang w:val="en-US" w:eastAsia="zh-CN"/>
        </w:rPr>
      </w:pPr>
      <w:r>
        <w:rPr>
          <w:rFonts w:hint="eastAsia"/>
          <w:b w:val="0"/>
          <w:bCs w:val="0"/>
          <w:sz w:val="21"/>
          <w:szCs w:val="21"/>
          <w:lang w:val="en-US" w:eastAsia="zh-CN"/>
        </w:rPr>
        <w:t>In Rel-15, there are following parameters for SR-configuration:</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eastAsia"/>
          <w:b w:val="0"/>
          <w:bCs w:val="0"/>
          <w:sz w:val="21"/>
          <w:szCs w:val="21"/>
          <w:lang w:val="en-US" w:eastAsia="zh-CN"/>
        </w:rPr>
      </w:pPr>
      <w:r>
        <w:rPr>
          <w:rFonts w:hint="eastAsia"/>
          <w:b w:val="0"/>
          <w:bCs w:val="0"/>
          <w:sz w:val="21"/>
          <w:szCs w:val="21"/>
          <w:lang w:val="en-US" w:eastAsia="zh-CN"/>
        </w:rPr>
        <w:t>-</w:t>
      </w:r>
      <w:r>
        <w:rPr>
          <w:rFonts w:hint="eastAsia"/>
          <w:b w:val="0"/>
          <w:bCs w:val="0"/>
          <w:sz w:val="21"/>
          <w:szCs w:val="21"/>
          <w:lang w:val="en-US" w:eastAsia="zh-CN"/>
        </w:rPr>
        <w:tab/>
      </w:r>
      <w:r>
        <w:rPr>
          <w:rFonts w:hint="eastAsia"/>
          <w:b w:val="0"/>
          <w:bCs w:val="0"/>
          <w:i/>
          <w:iCs/>
          <w:sz w:val="21"/>
          <w:szCs w:val="21"/>
          <w:lang w:val="en-US" w:eastAsia="zh-CN"/>
        </w:rPr>
        <w:t xml:space="preserve">sr-ProhibitTimer </w:t>
      </w:r>
      <w:r>
        <w:rPr>
          <w:rFonts w:hint="eastAsia"/>
          <w:b w:val="0"/>
          <w:bCs w:val="0"/>
          <w:sz w:val="21"/>
          <w:szCs w:val="21"/>
          <w:lang w:val="en-US" w:eastAsia="zh-CN"/>
        </w:rPr>
        <w:t>(per SR configuration);</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eastAsia"/>
          <w:b w:val="0"/>
          <w:bCs w:val="0"/>
          <w:sz w:val="21"/>
          <w:szCs w:val="21"/>
          <w:lang w:val="en-US" w:eastAsia="zh-CN"/>
        </w:rPr>
      </w:pPr>
      <w:r>
        <w:rPr>
          <w:rFonts w:hint="eastAsia"/>
          <w:b w:val="0"/>
          <w:bCs w:val="0"/>
          <w:sz w:val="21"/>
          <w:szCs w:val="21"/>
          <w:lang w:val="en-US" w:eastAsia="zh-CN"/>
        </w:rPr>
        <w:t>-</w:t>
      </w:r>
      <w:r>
        <w:rPr>
          <w:rFonts w:hint="eastAsia"/>
          <w:b w:val="0"/>
          <w:bCs w:val="0"/>
          <w:sz w:val="21"/>
          <w:szCs w:val="21"/>
          <w:lang w:val="en-US" w:eastAsia="zh-CN"/>
        </w:rPr>
        <w:tab/>
      </w:r>
      <w:r>
        <w:rPr>
          <w:rFonts w:hint="eastAsia"/>
          <w:b w:val="0"/>
          <w:bCs w:val="0"/>
          <w:i/>
          <w:iCs/>
          <w:sz w:val="21"/>
          <w:szCs w:val="21"/>
          <w:lang w:val="en-US" w:eastAsia="zh-CN"/>
        </w:rPr>
        <w:t>sr-TransMax</w:t>
      </w:r>
      <w:r>
        <w:rPr>
          <w:rFonts w:hint="eastAsia"/>
          <w:b w:val="0"/>
          <w:bCs w:val="0"/>
          <w:sz w:val="21"/>
          <w:szCs w:val="21"/>
          <w:lang w:val="en-US" w:eastAsia="zh-CN"/>
        </w:rPr>
        <w:t xml:space="preserve"> (per SR configuration).</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eastAsia"/>
          <w:b w:val="0"/>
          <w:bCs w:val="0"/>
          <w:sz w:val="21"/>
          <w:szCs w:val="21"/>
          <w:lang w:val="en-US" w:eastAsia="zh-CN"/>
        </w:rPr>
      </w:pPr>
      <w:r>
        <w:rPr>
          <w:rFonts w:hint="eastAsia"/>
          <w:b w:val="0"/>
          <w:bCs w:val="0"/>
          <w:sz w:val="21"/>
          <w:szCs w:val="21"/>
          <w:lang w:val="en-US" w:eastAsia="zh-CN"/>
        </w:rPr>
        <w:t>In rel-15 , the</w:t>
      </w:r>
      <w:r>
        <w:rPr>
          <w:rFonts w:hint="eastAsia"/>
          <w:b w:val="0"/>
          <w:bCs w:val="0"/>
          <w:i/>
          <w:iCs/>
          <w:sz w:val="21"/>
          <w:szCs w:val="21"/>
          <w:lang w:val="en-US" w:eastAsia="zh-CN"/>
        </w:rPr>
        <w:t xml:space="preserve"> sr-TransMax</w:t>
      </w:r>
      <w:r>
        <w:rPr>
          <w:rFonts w:hint="eastAsia"/>
          <w:b w:val="0"/>
          <w:bCs w:val="0"/>
          <w:sz w:val="21"/>
          <w:szCs w:val="21"/>
          <w:lang w:val="en-US" w:eastAsia="zh-CN"/>
        </w:rPr>
        <w:t xml:space="preserve"> can prevent UE from endless transmission of SR-PUCCH, meanwhile, the </w:t>
      </w:r>
      <w:r>
        <w:rPr>
          <w:rFonts w:hint="eastAsia"/>
          <w:b w:val="0"/>
          <w:bCs w:val="0"/>
          <w:i/>
          <w:iCs/>
          <w:sz w:val="21"/>
          <w:szCs w:val="21"/>
          <w:lang w:val="en-US" w:eastAsia="zh-CN"/>
        </w:rPr>
        <w:t xml:space="preserve">sr-ProhibitTimer </w:t>
      </w:r>
      <w:r>
        <w:rPr>
          <w:rFonts w:hint="eastAsia"/>
          <w:b w:val="0"/>
          <w:bCs w:val="0"/>
          <w:i w:val="0"/>
          <w:iCs w:val="0"/>
          <w:sz w:val="21"/>
          <w:szCs w:val="21"/>
          <w:lang w:val="en-US" w:eastAsia="zh-CN"/>
        </w:rPr>
        <w:t>can prevent UE from triggering of SR corresponding to the same SR configuration in a frequent way. In our understanding,</w:t>
      </w:r>
      <w:r>
        <w:rPr>
          <w:rFonts w:hint="eastAsia"/>
          <w:b w:val="0"/>
          <w:bCs w:val="0"/>
          <w:sz w:val="21"/>
          <w:szCs w:val="21"/>
          <w:lang w:val="en-US" w:eastAsia="zh-CN"/>
        </w:rPr>
        <w:t xml:space="preserve"> both parameters are still useful for SR-PUCCH for BFR.. we propose that:</w:t>
      </w:r>
    </w:p>
    <w:p>
      <w:pPr>
        <w:rPr>
          <w:rFonts w:hint="eastAsia"/>
          <w:b/>
          <w:bCs/>
          <w:sz w:val="21"/>
          <w:szCs w:val="21"/>
          <w:lang w:val="en-US" w:eastAsia="zh-CN"/>
        </w:rPr>
      </w:pPr>
      <w:r>
        <w:rPr>
          <w:rFonts w:hint="eastAsia"/>
          <w:b/>
          <w:bCs/>
          <w:sz w:val="21"/>
          <w:szCs w:val="21"/>
          <w:lang w:val="en-US" w:eastAsia="zh-CN"/>
        </w:rPr>
        <w:t>Proposal 5: The parameter configured in legacy SR configuration can be reused for configuring the SR-PUCCH for BFR.</w:t>
      </w:r>
    </w:p>
    <w:p>
      <w:pPr>
        <w:rPr>
          <w:rFonts w:hint="default"/>
          <w:b w:val="0"/>
          <w:bCs w:val="0"/>
          <w:sz w:val="21"/>
          <w:szCs w:val="21"/>
          <w:lang w:val="en-US" w:eastAsia="zh-CN"/>
        </w:rPr>
      </w:pPr>
      <w:r>
        <w:rPr>
          <w:rFonts w:hint="eastAsia"/>
          <w:b w:val="0"/>
          <w:bCs w:val="0"/>
          <w:sz w:val="21"/>
          <w:szCs w:val="21"/>
          <w:lang w:val="en-US" w:eastAsia="zh-CN"/>
        </w:rPr>
        <w:t>According to the RAN1</w:t>
      </w:r>
      <w:r>
        <w:rPr>
          <w:rFonts w:hint="default"/>
          <w:b w:val="0"/>
          <w:bCs w:val="0"/>
          <w:sz w:val="21"/>
          <w:szCs w:val="21"/>
          <w:lang w:val="en-US" w:eastAsia="zh-CN"/>
        </w:rPr>
        <w:t>’</w:t>
      </w:r>
      <w:r>
        <w:rPr>
          <w:rFonts w:hint="eastAsia"/>
          <w:b w:val="0"/>
          <w:bCs w:val="0"/>
          <w:sz w:val="21"/>
          <w:szCs w:val="21"/>
          <w:lang w:val="en-US" w:eastAsia="zh-CN"/>
        </w:rPr>
        <w:t>s confirmation in reply, the current frame of SR can be reused if the SR-PUCCH resources are not configured. Moreover, if proposal 5 is agreed, if the transmission times of the SR-PUCCH reaches the maximum value, we suggest the current frame can be reused as well, thus we propose that</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eastAsia"/>
          <w:b/>
          <w:bCs/>
          <w:sz w:val="21"/>
          <w:szCs w:val="21"/>
          <w:lang w:val="en-US" w:eastAsia="zh-CN"/>
        </w:rPr>
      </w:pPr>
      <w:r>
        <w:rPr>
          <w:rFonts w:hint="eastAsia"/>
          <w:b/>
          <w:bCs/>
          <w:sz w:val="21"/>
          <w:szCs w:val="21"/>
          <w:lang w:val="en-US" w:eastAsia="zh-CN"/>
        </w:rPr>
        <w:t>Proposal 6: If the resource of SR-PUCCH is not configured or the transmission times of SR for one SR configuration reach the pre-configured maximum value, the CBRA on SpCell shall be triggerred as the legacy behavior in R-15.</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default"/>
          <w:b w:val="0"/>
          <w:bCs w:val="0"/>
          <w:sz w:val="21"/>
          <w:szCs w:val="21"/>
          <w:lang w:val="en-US" w:eastAsia="zh-CN"/>
        </w:rPr>
      </w:pPr>
      <w:r>
        <w:rPr>
          <w:rFonts w:hint="eastAsia"/>
          <w:b w:val="0"/>
          <w:bCs w:val="0"/>
          <w:sz w:val="21"/>
          <w:szCs w:val="21"/>
          <w:lang w:val="en-US" w:eastAsia="zh-CN"/>
        </w:rPr>
        <w:t>Unlike with legacy SR configuration, the SR-PUCCH configuration is configured for serving cell, thus considering the SR configuration method, if proposal 5 is agreed , the SR-PUCCH configuration is not unified within a cell group ,thus for SR-PUCCH configuration method, we have the following options:</w:t>
      </w:r>
    </w:p>
    <w:p>
      <w:pPr>
        <w:numPr>
          <w:ilvl w:val="0"/>
          <w:numId w:val="5"/>
        </w:numPr>
        <w:ind w:left="420" w:leftChars="0" w:hanging="420" w:firstLineChars="0"/>
        <w:rPr>
          <w:rFonts w:hint="default"/>
          <w:b w:val="0"/>
          <w:bCs w:val="0"/>
          <w:sz w:val="21"/>
          <w:szCs w:val="21"/>
          <w:lang w:val="en-US" w:eastAsia="zh-CN"/>
        </w:rPr>
      </w:pPr>
      <w:r>
        <w:rPr>
          <w:rFonts w:hint="eastAsia"/>
          <w:b w:val="0"/>
          <w:bCs w:val="0"/>
          <w:sz w:val="21"/>
          <w:szCs w:val="21"/>
          <w:lang w:val="en-US" w:eastAsia="zh-CN"/>
        </w:rPr>
        <w:t>Option 1: One SR-PUCCH configuration is mapped to all cells in one cell group except the SpCells</w:t>
      </w:r>
    </w:p>
    <w:p>
      <w:pPr>
        <w:numPr>
          <w:ilvl w:val="0"/>
          <w:numId w:val="5"/>
        </w:numPr>
        <w:ind w:left="420" w:leftChars="0" w:hanging="420" w:firstLineChars="0"/>
        <w:rPr>
          <w:rFonts w:hint="default"/>
          <w:b w:val="0"/>
          <w:bCs w:val="0"/>
          <w:sz w:val="21"/>
          <w:szCs w:val="21"/>
          <w:lang w:val="en-US" w:eastAsia="zh-CN"/>
        </w:rPr>
      </w:pPr>
      <w:r>
        <w:rPr>
          <w:rFonts w:hint="eastAsia"/>
          <w:b w:val="0"/>
          <w:bCs w:val="0"/>
          <w:sz w:val="21"/>
          <w:szCs w:val="21"/>
          <w:lang w:val="en-US" w:eastAsia="zh-CN"/>
        </w:rPr>
        <w:t>Option 2: One SR-PUCCH configuration is mapped to one cell except the SpCells</w:t>
      </w:r>
    </w:p>
    <w:p>
      <w:pPr>
        <w:numPr>
          <w:ilvl w:val="0"/>
          <w:numId w:val="5"/>
        </w:numPr>
        <w:ind w:left="420" w:leftChars="0" w:hanging="420" w:firstLineChars="0"/>
        <w:rPr>
          <w:rFonts w:hint="default"/>
          <w:b/>
          <w:bCs/>
          <w:sz w:val="21"/>
          <w:szCs w:val="21"/>
          <w:lang w:val="en-US" w:eastAsia="zh-CN"/>
        </w:rPr>
      </w:pPr>
      <w:r>
        <w:rPr>
          <w:rFonts w:hint="eastAsia"/>
          <w:b w:val="0"/>
          <w:bCs w:val="0"/>
          <w:sz w:val="21"/>
          <w:szCs w:val="21"/>
          <w:lang w:val="en-US" w:eastAsia="zh-CN"/>
        </w:rPr>
        <w:t>Option 3: One SR-PUCCH configuration can be mapped to one or multiple Servingcells except the SpCell.</w:t>
      </w:r>
    </w:p>
    <w:p>
      <w:pPr>
        <w:rPr>
          <w:rFonts w:hint="default"/>
          <w:b w:val="0"/>
          <w:bCs w:val="0"/>
          <w:sz w:val="21"/>
          <w:szCs w:val="21"/>
          <w:lang w:val="en-US" w:eastAsia="zh-CN"/>
        </w:rPr>
      </w:pPr>
      <w:r>
        <w:rPr>
          <w:rFonts w:hint="eastAsia"/>
          <w:b w:val="0"/>
          <w:bCs w:val="0"/>
          <w:sz w:val="21"/>
          <w:szCs w:val="21"/>
          <w:lang w:val="en-US" w:eastAsia="zh-CN"/>
        </w:rPr>
        <w:t xml:space="preserve">Since different serving cells may adapt to different QoS requirement, the </w:t>
      </w:r>
      <w:r>
        <w:rPr>
          <w:rFonts w:hint="eastAsia"/>
          <w:b w:val="0"/>
          <w:bCs w:val="0"/>
          <w:i/>
          <w:iCs/>
          <w:sz w:val="21"/>
          <w:szCs w:val="21"/>
          <w:lang w:val="en-US" w:eastAsia="zh-CN"/>
        </w:rPr>
        <w:t>sr-ProhibitTimer</w:t>
      </w:r>
      <w:r>
        <w:rPr>
          <w:rFonts w:hint="eastAsia"/>
          <w:b w:val="0"/>
          <w:bCs w:val="0"/>
          <w:sz w:val="21"/>
          <w:szCs w:val="21"/>
          <w:lang w:val="en-US" w:eastAsia="zh-CN"/>
        </w:rPr>
        <w:t xml:space="preserve"> maybe absent for the serving cell that is for URLLC service in order to reduce the transmission delay, while</w:t>
      </w:r>
      <w:r>
        <w:rPr>
          <w:rFonts w:hint="eastAsia"/>
          <w:b w:val="0"/>
          <w:bCs w:val="0"/>
          <w:i/>
          <w:iCs/>
          <w:sz w:val="21"/>
          <w:szCs w:val="21"/>
          <w:lang w:val="en-US" w:eastAsia="zh-CN"/>
        </w:rPr>
        <w:t xml:space="preserve"> sr-ProhibitTimer</w:t>
      </w:r>
      <w:r>
        <w:rPr>
          <w:rFonts w:hint="eastAsia"/>
          <w:b w:val="0"/>
          <w:bCs w:val="0"/>
          <w:sz w:val="21"/>
          <w:szCs w:val="21"/>
          <w:lang w:val="en-US" w:eastAsia="zh-CN"/>
        </w:rPr>
        <w:t xml:space="preserve"> may be configured for the serving cell that is for eMBB service. Thus option 1 is excluded. For option 2, different serving cells may fulfill the same QoS requirement, the configuration method from option 2 is not RRC signaling efficiency. Only in option 3, the SR-PUCCH configuration can be flexibly configured to the serving cell which is similar with the legacy SR configuration (i.e one SR configuration can be mapped to one or multiple logical channels). Thus option 3 is our preference. Thus we propose that: </w:t>
      </w:r>
    </w:p>
    <w:p>
      <w:pPr>
        <w:rPr>
          <w:rFonts w:hint="default"/>
          <w:b w:val="0"/>
          <w:bCs w:val="0"/>
          <w:sz w:val="21"/>
          <w:szCs w:val="21"/>
          <w:lang w:val="en-US" w:eastAsia="zh-CN"/>
        </w:rPr>
      </w:pPr>
      <w:r>
        <w:rPr>
          <w:rFonts w:hint="eastAsia"/>
          <w:b/>
          <w:bCs/>
          <w:sz w:val="21"/>
          <w:szCs w:val="21"/>
          <w:lang w:val="en-US" w:eastAsia="zh-CN"/>
        </w:rPr>
        <w:t>Proposal 7: The SR-PUCCH configuration can be mapped to one or multiple cells except the SpCell.</w:t>
      </w:r>
    </w:p>
    <w:p>
      <w:pPr>
        <w:rPr>
          <w:rFonts w:hint="eastAsia"/>
          <w:b w:val="0"/>
          <w:bCs w:val="0"/>
          <w:sz w:val="21"/>
          <w:szCs w:val="21"/>
          <w:lang w:val="en-US" w:eastAsia="zh-CN"/>
        </w:rPr>
      </w:pPr>
      <w:r>
        <w:rPr>
          <w:rFonts w:hint="eastAsia"/>
          <w:b w:val="0"/>
          <w:bCs w:val="0"/>
          <w:sz w:val="21"/>
          <w:szCs w:val="21"/>
          <w:lang w:val="en-US" w:eastAsia="zh-CN"/>
        </w:rPr>
        <w:t>In the reply from RAN1, they conclude that:</w:t>
      </w:r>
    </w:p>
    <w:p>
      <w:pPr>
        <w:pBdr>
          <w:top w:val="single" w:color="auto" w:sz="4" w:space="0"/>
          <w:left w:val="single" w:color="auto" w:sz="4" w:space="0"/>
          <w:bottom w:val="single" w:color="auto" w:sz="4" w:space="0"/>
          <w:right w:val="single" w:color="auto" w:sz="4" w:space="0"/>
        </w:pBdr>
        <w:rPr>
          <w:rFonts w:hint="default"/>
          <w:b/>
          <w:bCs/>
          <w:sz w:val="21"/>
          <w:szCs w:val="21"/>
          <w:lang w:val="en-US" w:eastAsia="zh-CN"/>
        </w:rPr>
      </w:pPr>
      <w:r>
        <w:rPr>
          <w:rFonts w:hint="default"/>
          <w:b/>
          <w:bCs/>
          <w:sz w:val="21"/>
          <w:szCs w:val="21"/>
          <w:lang w:val="en-US" w:eastAsia="zh-CN"/>
        </w:rPr>
        <w:t>Conclusion</w:t>
      </w:r>
    </w:p>
    <w:p>
      <w:pPr>
        <w:numPr>
          <w:ilvl w:val="0"/>
          <w:numId w:val="5"/>
        </w:numPr>
        <w:pBdr>
          <w:top w:val="single" w:color="auto" w:sz="4" w:space="0"/>
          <w:left w:val="single" w:color="auto" w:sz="4" w:space="0"/>
          <w:bottom w:val="single" w:color="auto" w:sz="4" w:space="0"/>
          <w:right w:val="single" w:color="auto" w:sz="4" w:space="0"/>
        </w:pBdr>
        <w:ind w:left="420" w:leftChars="0" w:hanging="420" w:firstLineChars="0"/>
        <w:rPr>
          <w:rFonts w:hint="default"/>
          <w:b w:val="0"/>
          <w:bCs w:val="0"/>
          <w:sz w:val="21"/>
          <w:szCs w:val="21"/>
          <w:lang w:val="en-US" w:eastAsia="zh-CN"/>
        </w:rPr>
      </w:pPr>
      <w:r>
        <w:rPr>
          <w:rFonts w:hint="default"/>
          <w:b w:val="0"/>
          <w:bCs w:val="0"/>
          <w:sz w:val="21"/>
          <w:szCs w:val="21"/>
          <w:lang w:val="en-US" w:eastAsia="zh-CN"/>
        </w:rPr>
        <w:t>The details on MAC CE for BFR, and whether to transmit a MAC CE to carry BFRQ information for 1 SCell or multiple SCells is up to RAN2</w:t>
      </w:r>
    </w:p>
    <w:p>
      <w:pPr>
        <w:numPr>
          <w:ilvl w:val="0"/>
          <w:numId w:val="5"/>
        </w:numPr>
        <w:pBdr>
          <w:top w:val="single" w:color="auto" w:sz="4" w:space="0"/>
          <w:left w:val="single" w:color="auto" w:sz="4" w:space="0"/>
          <w:bottom w:val="single" w:color="auto" w:sz="4" w:space="0"/>
          <w:right w:val="single" w:color="auto" w:sz="4" w:space="0"/>
        </w:pBdr>
        <w:ind w:left="420" w:leftChars="0" w:hanging="420" w:firstLineChars="0"/>
        <w:rPr>
          <w:rFonts w:hint="default"/>
          <w:b w:val="0"/>
          <w:bCs w:val="0"/>
          <w:sz w:val="21"/>
          <w:szCs w:val="21"/>
          <w:lang w:val="en-US" w:eastAsia="zh-CN"/>
        </w:rPr>
      </w:pPr>
      <w:r>
        <w:rPr>
          <w:rFonts w:hint="default"/>
          <w:b w:val="0"/>
          <w:bCs w:val="0"/>
          <w:sz w:val="21"/>
          <w:szCs w:val="21"/>
          <w:lang w:val="en-US" w:eastAsia="zh-CN"/>
        </w:rPr>
        <w:t>RAN1 identified that beam failure on multiple SCells can occur simultaneously but have not reached consensus on how often this occurs</w:t>
      </w:r>
    </w:p>
    <w:p>
      <w:pPr>
        <w:numPr>
          <w:ilvl w:val="0"/>
          <w:numId w:val="5"/>
        </w:numPr>
        <w:pBdr>
          <w:top w:val="single" w:color="auto" w:sz="4" w:space="0"/>
          <w:left w:val="single" w:color="auto" w:sz="4" w:space="0"/>
          <w:bottom w:val="single" w:color="auto" w:sz="4" w:space="0"/>
          <w:right w:val="single" w:color="auto" w:sz="4" w:space="0"/>
        </w:pBdr>
        <w:ind w:left="420" w:leftChars="0" w:hanging="420" w:firstLineChars="0"/>
        <w:rPr>
          <w:rFonts w:hint="default"/>
          <w:b w:val="0"/>
          <w:bCs w:val="0"/>
          <w:sz w:val="21"/>
          <w:szCs w:val="21"/>
          <w:lang w:val="en-US" w:eastAsia="zh-CN"/>
        </w:rPr>
      </w:pPr>
      <w:r>
        <w:rPr>
          <w:rFonts w:hint="default"/>
          <w:b w:val="0"/>
          <w:bCs w:val="0"/>
          <w:sz w:val="21"/>
          <w:szCs w:val="21"/>
          <w:lang w:val="en-US" w:eastAsia="zh-CN"/>
        </w:rPr>
        <w:t>RAN1 suggests RAN2 to give higher priority for SCell BFR MAC CE than at least UL data, and also higher priority for SCell BFR PUCCH than normal SR</w:t>
      </w:r>
    </w:p>
    <w:p>
      <w:pPr>
        <w:rPr>
          <w:rFonts w:hint="eastAsia"/>
          <w:b w:val="0"/>
          <w:bCs w:val="0"/>
          <w:sz w:val="21"/>
          <w:szCs w:val="21"/>
          <w:lang w:val="en-US" w:eastAsia="zh-CN"/>
        </w:rPr>
      </w:pPr>
      <w:r>
        <w:rPr>
          <w:rFonts w:hint="eastAsia"/>
          <w:b w:val="0"/>
          <w:bCs w:val="0"/>
          <w:sz w:val="21"/>
          <w:szCs w:val="21"/>
          <w:lang w:val="en-US" w:eastAsia="zh-CN"/>
        </w:rPr>
        <w:t>According to the conclusion from RAN1 , it is up to RAN2</w:t>
      </w:r>
      <w:r>
        <w:rPr>
          <w:rFonts w:hint="default"/>
          <w:b w:val="0"/>
          <w:bCs w:val="0"/>
          <w:sz w:val="21"/>
          <w:szCs w:val="21"/>
          <w:lang w:val="en-US" w:eastAsia="zh-CN"/>
        </w:rPr>
        <w:t>’</w:t>
      </w:r>
      <w:r>
        <w:rPr>
          <w:rFonts w:hint="eastAsia"/>
          <w:b w:val="0"/>
          <w:bCs w:val="0"/>
          <w:sz w:val="21"/>
          <w:szCs w:val="21"/>
          <w:lang w:val="en-US" w:eastAsia="zh-CN"/>
        </w:rPr>
        <w:t xml:space="preserve"> determination whether one or multiple serving cells can be carried in a MAC CE. In our understanding, it has been confirmed that the beam failure on multiple SCells can be occurred simultaneously, the MAC CE carry more than one cell information is efficient under this scenario.</w:t>
      </w:r>
    </w:p>
    <w:p>
      <w:pPr>
        <w:rPr>
          <w:rFonts w:hint="default"/>
          <w:b/>
          <w:bCs/>
          <w:sz w:val="21"/>
          <w:szCs w:val="21"/>
          <w:lang w:val="en-US" w:eastAsia="zh-CN"/>
        </w:rPr>
      </w:pPr>
      <w:r>
        <w:rPr>
          <w:rFonts w:hint="eastAsia"/>
          <w:b w:val="0"/>
          <w:bCs w:val="0"/>
          <w:sz w:val="21"/>
          <w:szCs w:val="21"/>
          <w:lang w:val="en-US" w:eastAsia="zh-CN"/>
        </w:rPr>
        <w:t>In addition, considering the cancellation of pending SR-PUCCH for BFR, if proposal 7 is agreeable, the SR-PUCCH configuration is mostly like the current legacy SR configuration, the only difference between these two SR is that the SR-PUCCH configuration is configured for serving cell while the legacy SR configuration is configured for LCH. Thus the cancellation mechanism of pending SR for LCH can be reused for the SR-PUCCH for BFR in simplicity, thus BFRQ MAC CE is better to carry more than one serving cell information as long BSR MAC CE thus, we propose that:</w:t>
      </w:r>
    </w:p>
    <w:p>
      <w:pPr>
        <w:rPr>
          <w:rFonts w:hint="default"/>
          <w:b/>
          <w:bCs/>
          <w:sz w:val="21"/>
          <w:szCs w:val="21"/>
          <w:lang w:val="en-US" w:eastAsia="zh-CN"/>
        </w:rPr>
      </w:pPr>
      <w:r>
        <w:rPr>
          <w:rFonts w:hint="eastAsia"/>
          <w:b/>
          <w:bCs/>
          <w:sz w:val="21"/>
          <w:szCs w:val="21"/>
          <w:lang w:val="en-US" w:eastAsia="zh-CN"/>
        </w:rPr>
        <w:t>Proposal 8: The BFRQ MAC CE can carry the BFRQ information for one or multiple SCells.</w:t>
      </w:r>
    </w:p>
    <w:p>
      <w:pPr>
        <w:rPr>
          <w:rFonts w:hint="default"/>
          <w:b/>
          <w:bCs/>
          <w:sz w:val="21"/>
          <w:szCs w:val="21"/>
          <w:lang w:val="en-US" w:eastAsia="zh-CN"/>
        </w:rPr>
      </w:pPr>
      <w:r>
        <w:rPr>
          <w:rFonts w:hint="eastAsia"/>
          <w:b/>
          <w:bCs/>
          <w:sz w:val="21"/>
          <w:szCs w:val="21"/>
          <w:lang w:val="en-US" w:eastAsia="zh-CN"/>
        </w:rPr>
        <w:t xml:space="preserve">Proposal 9: All pending SR for BFR prior to the MAC PDU assembly shall be canceled when the BFRQ MAC CE is transmitted and this MAC CE includes the beam recovery information for all serving cells that trigger BFRQ MAC CE prior to the MAC PDU assembly. </w:t>
      </w:r>
    </w:p>
    <w:p>
      <w:pPr>
        <w:rPr>
          <w:rFonts w:hint="eastAsia"/>
          <w:lang w:val="en-US" w:eastAsia="zh-CN"/>
        </w:rPr>
      </w:pPr>
      <w:r>
        <w:rPr>
          <w:rFonts w:hint="eastAsia"/>
          <w:lang w:val="en-US" w:eastAsia="zh-CN"/>
        </w:rPr>
        <w:t>Regarding to the successful termination of BFR on SCell, RAN 1 have provided their suggestion in reply:</w:t>
      </w:r>
    </w:p>
    <w:p>
      <w:pPr>
        <w:rPr>
          <w:rFonts w:hint="default"/>
          <w:lang w:val="en-US" w:eastAsia="zh-CN"/>
        </w:rPr>
      </w:pPr>
      <w:r>
        <w:rPr>
          <w:rFonts w:hint="eastAsia"/>
          <w:lang w:val="en-US" w:eastAsia="zh-CN"/>
        </w:rPr>
        <w:t>================================================================================</w:t>
      </w:r>
    </w:p>
    <w:p>
      <w:pPr>
        <w:rPr>
          <w:rFonts w:hint="eastAsia"/>
        </w:rPr>
      </w:pPr>
      <w:r>
        <w:rPr>
          <w:rFonts w:hint="eastAsia"/>
        </w:rPr>
        <w:t>Q5: What conditions are used for the (successful) completion of the SCell BFR?</w:t>
      </w:r>
    </w:p>
    <w:p>
      <w:pPr>
        <w:pBdr>
          <w:bottom w:val="double" w:color="auto" w:sz="4" w:space="0"/>
        </w:pBdr>
        <w:rPr>
          <w:rFonts w:hint="eastAsia"/>
        </w:rPr>
      </w:pPr>
      <w:r>
        <w:rPr>
          <w:rFonts w:hint="eastAsia"/>
        </w:rPr>
        <w:t>R5: When UE receives beam failure recovery response (BFRR) to step 2, UE can consider BFR procedure is finished, where the BFRR to step 2 is a normal uplink grant to schedule a new transmission for the same HARQ process as PUSCH carrying the step 2 MAC CE, which is the same as normal “ACK” for PUSCH.</w:t>
      </w:r>
    </w:p>
    <w:p>
      <w:pPr>
        <w:rPr>
          <w:rFonts w:hint="default"/>
          <w:lang w:val="en-US" w:eastAsia="zh-CN"/>
        </w:rPr>
      </w:pPr>
      <w:r>
        <w:rPr>
          <w:rFonts w:hint="eastAsia"/>
          <w:lang w:val="en-US" w:eastAsia="zh-CN"/>
        </w:rPr>
        <w:t>Thus RAN2 can following RAN1</w:t>
      </w:r>
      <w:r>
        <w:rPr>
          <w:rFonts w:hint="default"/>
          <w:lang w:val="en-US" w:eastAsia="zh-CN"/>
        </w:rPr>
        <w:t>’</w:t>
      </w:r>
      <w:r>
        <w:rPr>
          <w:rFonts w:hint="eastAsia"/>
          <w:lang w:val="en-US" w:eastAsia="zh-CN"/>
        </w:rPr>
        <w:t xml:space="preserve">s agreements in successful termination of BFRQ procedure on SCell, in addition, the corresponding BFI_COUNTERs shall be reset for the next round of monitoring as same as in Rel-15 </w:t>
      </w:r>
    </w:p>
    <w:p>
      <w:pPr>
        <w:rPr>
          <w:rFonts w:hint="default"/>
          <w:b/>
          <w:bCs/>
          <w:lang w:val="en-US" w:eastAsia="zh-CN"/>
        </w:rPr>
      </w:pPr>
      <w:r>
        <w:rPr>
          <w:rFonts w:hint="eastAsia"/>
          <w:b/>
          <w:bCs/>
          <w:lang w:val="en-US" w:eastAsia="zh-CN"/>
        </w:rPr>
        <w:t>Proposal 10: After the transmission of BFRQ MAC CE, UE should consider the BFR procedure is successfully completed when receiving a new UL transmission scheduling for the same HARQ process ID with the PUSCH where carry the BFRQ MAC CE. And reset BFI_COUNTERs corresponding to the serving cells those are included in the BFRQ MAC CE</w:t>
      </w:r>
    </w:p>
    <w:bookmarkEnd w:id="3"/>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rPr>
      </w:pPr>
      <w:r>
        <w:t>In this contribution,</w:t>
      </w:r>
      <w:r>
        <w:rPr>
          <w:rFonts w:hint="eastAsia"/>
        </w:rPr>
        <w:t xml:space="preserve"> we share some views on the </w:t>
      </w:r>
      <w:r>
        <w:rPr>
          <w:rFonts w:hint="eastAsia"/>
          <w:lang w:val="en-US" w:eastAsia="zh-CN"/>
        </w:rPr>
        <w:t>BFR on SCell</w:t>
      </w:r>
      <w:r>
        <w:rPr>
          <w:rFonts w:hint="eastAsia"/>
        </w:rPr>
        <w:t xml:space="preserve"> with the following observations and proposals:</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eastAsia"/>
          <w:b/>
          <w:bCs/>
          <w:lang w:val="en-US" w:eastAsia="zh-CN"/>
        </w:rPr>
      </w:pPr>
      <w:r>
        <w:rPr>
          <w:rFonts w:hint="eastAsia"/>
          <w:b/>
          <w:bCs/>
          <w:lang w:val="en-US" w:eastAsia="zh-CN"/>
        </w:rPr>
        <w:t xml:space="preserve">Proposal 1: The beam failure detection method defined for SpCell can be reused for SCell. </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eastAsia"/>
          <w:b/>
          <w:bCs/>
          <w:sz w:val="20"/>
          <w:szCs w:val="20"/>
          <w:lang w:val="en-US" w:eastAsia="zh-CN"/>
        </w:rPr>
      </w:pPr>
      <w:r>
        <w:rPr>
          <w:rFonts w:hint="eastAsia"/>
          <w:b/>
          <w:bCs/>
          <w:sz w:val="20"/>
          <w:szCs w:val="20"/>
          <w:lang w:val="en-US" w:eastAsia="zh-CN"/>
        </w:rPr>
        <w:t>Proposal 2: The BFR detection related timer/counter will be maintained per SCell, and the value for the timer/counter shall be configured separately per cell.</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eastAsia"/>
          <w:b/>
          <w:bCs/>
          <w:sz w:val="21"/>
          <w:szCs w:val="21"/>
          <w:lang w:val="en-US" w:eastAsia="zh-CN"/>
        </w:rPr>
      </w:pPr>
      <w:r>
        <w:rPr>
          <w:rFonts w:hint="eastAsia"/>
          <w:b/>
          <w:bCs/>
          <w:sz w:val="21"/>
          <w:szCs w:val="21"/>
          <w:lang w:val="en-US" w:eastAsia="zh-CN"/>
        </w:rPr>
        <w:t xml:space="preserve">Proposal 3: In case beam failure is detected on SCell, BFRQ MAC CE shall be triggered. </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eastAsia"/>
          <w:b/>
          <w:bCs/>
          <w:sz w:val="21"/>
          <w:szCs w:val="21"/>
          <w:lang w:val="en-US" w:eastAsia="zh-CN"/>
        </w:rPr>
      </w:pPr>
      <w:r>
        <w:rPr>
          <w:rFonts w:hint="eastAsia"/>
          <w:b/>
          <w:bCs/>
          <w:sz w:val="21"/>
          <w:szCs w:val="21"/>
          <w:lang w:val="en-US" w:eastAsia="zh-CN"/>
        </w:rPr>
        <w:t>Proposal 4: Once the BFRQ MAC CE is triggered, if there is no available PUSCH resources for the transmission of BFRQ MAC CE, the SR for BFRQ shall be triggered.</w:t>
      </w:r>
    </w:p>
    <w:p>
      <w:pPr>
        <w:rPr>
          <w:rFonts w:hint="eastAsia"/>
          <w:b/>
          <w:bCs/>
          <w:sz w:val="21"/>
          <w:szCs w:val="21"/>
          <w:lang w:val="en-US" w:eastAsia="zh-CN"/>
        </w:rPr>
      </w:pPr>
      <w:r>
        <w:rPr>
          <w:rFonts w:hint="eastAsia"/>
          <w:b/>
          <w:bCs/>
          <w:sz w:val="21"/>
          <w:szCs w:val="21"/>
          <w:lang w:val="en-US" w:eastAsia="zh-CN"/>
        </w:rPr>
        <w:t>Proposal 5: The parameter configured in legacy SR configuration can be reused for configuring the SR-PUCCH for BFR.</w:t>
      </w:r>
    </w:p>
    <w:p>
      <w:pPr>
        <w:pBdr>
          <w:top w:val="none" w:color="auto" w:sz="0" w:space="1"/>
          <w:left w:val="none" w:color="auto" w:sz="0" w:space="4"/>
          <w:bottom w:val="none" w:color="auto" w:sz="0" w:space="1"/>
          <w:right w:val="none" w:color="auto" w:sz="0" w:space="4"/>
          <w:between w:val="none" w:color="auto" w:sz="0" w:space="0"/>
        </w:pBdr>
        <w:overflowPunct w:val="0"/>
        <w:autoSpaceDE w:val="0"/>
        <w:autoSpaceDN w:val="0"/>
        <w:adjustRightInd w:val="0"/>
        <w:spacing w:after="180"/>
        <w:jc w:val="both"/>
        <w:textAlignment w:val="baseline"/>
        <w:rPr>
          <w:rFonts w:hint="eastAsia"/>
          <w:b/>
          <w:bCs/>
          <w:sz w:val="21"/>
          <w:szCs w:val="21"/>
          <w:lang w:val="en-US" w:eastAsia="zh-CN"/>
        </w:rPr>
      </w:pPr>
      <w:r>
        <w:rPr>
          <w:rFonts w:hint="eastAsia"/>
          <w:b/>
          <w:bCs/>
          <w:sz w:val="21"/>
          <w:szCs w:val="21"/>
          <w:lang w:val="en-US" w:eastAsia="zh-CN"/>
        </w:rPr>
        <w:t>Proposal 6: If the resource of SR-PUCCH is not configured or the transmission times of SR for one SR configuration reach the pre-configured maximum value, the CBRA on SpCell shall be triggerred as the legacy behavior in R-15.</w:t>
      </w:r>
    </w:p>
    <w:p>
      <w:pPr>
        <w:rPr>
          <w:rFonts w:hint="default"/>
          <w:b w:val="0"/>
          <w:bCs w:val="0"/>
          <w:sz w:val="21"/>
          <w:szCs w:val="21"/>
          <w:lang w:val="en-US" w:eastAsia="zh-CN"/>
        </w:rPr>
      </w:pPr>
      <w:r>
        <w:rPr>
          <w:rFonts w:hint="eastAsia"/>
          <w:b/>
          <w:bCs/>
          <w:sz w:val="21"/>
          <w:szCs w:val="21"/>
          <w:lang w:val="en-US" w:eastAsia="zh-CN"/>
        </w:rPr>
        <w:t>Proposal 7: The SR-PUCCH configuration can be mapped to one or multiple cells except the SpCell.</w:t>
      </w:r>
    </w:p>
    <w:p>
      <w:pPr>
        <w:rPr>
          <w:rFonts w:hint="default"/>
          <w:b/>
          <w:bCs/>
          <w:sz w:val="21"/>
          <w:szCs w:val="21"/>
          <w:lang w:val="en-US" w:eastAsia="zh-CN"/>
        </w:rPr>
      </w:pPr>
      <w:r>
        <w:rPr>
          <w:rFonts w:hint="eastAsia"/>
          <w:b/>
          <w:bCs/>
          <w:sz w:val="21"/>
          <w:szCs w:val="21"/>
          <w:lang w:val="en-US" w:eastAsia="zh-CN"/>
        </w:rPr>
        <w:t>Proposal 8: The BFRQ MAC CE can carry the BFRQ information for one or multiple SCells.</w:t>
      </w:r>
    </w:p>
    <w:p>
      <w:pPr>
        <w:rPr>
          <w:rFonts w:hint="eastAsia"/>
          <w:b/>
          <w:bCs/>
          <w:sz w:val="21"/>
          <w:szCs w:val="21"/>
          <w:lang w:val="en-US" w:eastAsia="zh-CN"/>
        </w:rPr>
      </w:pPr>
      <w:r>
        <w:rPr>
          <w:rFonts w:hint="eastAsia"/>
          <w:b/>
          <w:bCs/>
          <w:sz w:val="21"/>
          <w:szCs w:val="21"/>
          <w:lang w:val="en-US" w:eastAsia="zh-CN"/>
        </w:rPr>
        <w:t>Proposal 9: All pending SR for BFR prior to the MAC PDU assembly shall be canceled when the BFRQ MAC CE is transmitted and this MAC CE includes the beam recovery information for all serving cells that trigger BFRQ MAC CE prior to the MAC PDU assembly.</w:t>
      </w:r>
    </w:p>
    <w:p>
      <w:pPr>
        <w:rPr>
          <w:rFonts w:hint="default"/>
          <w:b/>
          <w:bCs/>
          <w:lang w:val="en-US" w:eastAsia="zh-CN"/>
        </w:rPr>
      </w:pPr>
      <w:r>
        <w:rPr>
          <w:rFonts w:hint="eastAsia"/>
          <w:b/>
          <w:bCs/>
          <w:lang w:val="en-US" w:eastAsia="zh-CN"/>
        </w:rPr>
        <w:t>Proposal 10: After the transmission of BFRQ MAC CE, UE should consider the BFR procedure is successfully completed when receiving a new UL transmission scheduling for the same HARQ process ID with the PUSCH where carry the BFRQ MAC CE. And reset BFI_COUNTERs corresponding to the serving cells those are included in the BFRQ MAC CE</w:t>
      </w:r>
    </w:p>
    <w:p>
      <w:pPr>
        <w:rPr>
          <w:rFonts w:hint="eastAsia"/>
          <w:b/>
          <w:bCs/>
          <w:sz w:val="21"/>
          <w:szCs w:val="21"/>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rPr>
          <w:rFonts w:hint="default"/>
          <w:b w:val="0"/>
          <w:bCs w:val="0"/>
          <w:lang w:val="en-US" w:eastAsia="zh-CN"/>
        </w:rPr>
      </w:pPr>
      <w:r>
        <w:rPr>
          <w:rFonts w:hint="eastAsia"/>
          <w:b w:val="0"/>
          <w:bCs w:val="0"/>
          <w:lang w:val="en-US" w:eastAsia="zh-CN"/>
        </w:rPr>
        <w:t xml:space="preserve">[1] </w:t>
      </w:r>
      <w:r>
        <w:fldChar w:fldCharType="begin"/>
      </w:r>
      <w:r>
        <w:instrText xml:space="preserve"> HYPERLINK "file:///C:\\Data\\3GPP\\Extracts\\R2-1910404-%20Consideration%20on%20Beam%20failure%20recovery%20for%20SCell.doc" \o "C:Data3GPPExtractsR2-1910404- Consideration on Beam failure recovery for SCell.doc" </w:instrText>
      </w:r>
      <w:r>
        <w:fldChar w:fldCharType="separate"/>
      </w:r>
      <w:r>
        <w:rPr>
          <w:rStyle w:val="61"/>
        </w:rPr>
        <w:t>R2-1910404</w:t>
      </w:r>
      <w:r>
        <w:rPr>
          <w:rStyle w:val="61"/>
        </w:rPr>
        <w:fldChar w:fldCharType="end"/>
      </w:r>
      <w:r>
        <w:tab/>
      </w:r>
      <w:r>
        <w:t>Consideratio</w:t>
      </w:r>
      <w:bookmarkStart w:id="4" w:name="_GoBack"/>
      <w:bookmarkEnd w:id="4"/>
      <w:r>
        <w:t>n on Beam failure recovery for SCell</w:t>
      </w:r>
      <w:r>
        <w:tab/>
      </w:r>
      <w:r>
        <w:t>ZTE Corporation, Sanechips</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A8F26A6"/>
    <w:multiLevelType w:val="singleLevel"/>
    <w:tmpl w:val="2A8F26A6"/>
    <w:lvl w:ilvl="0" w:tentative="0">
      <w:start w:val="1"/>
      <w:numFmt w:val="bullet"/>
      <w:lvlText w:val=""/>
      <w:lvlJc w:val="left"/>
      <w:pPr>
        <w:ind w:left="420" w:hanging="420"/>
      </w:pPr>
      <w:rPr>
        <w:rFonts w:hint="default" w:ascii="Wingdings" w:hAnsi="Wingdings"/>
      </w:rPr>
    </w:lvl>
  </w:abstractNum>
  <w:abstractNum w:abstractNumId="3">
    <w:nsid w:val="46429BD7"/>
    <w:multiLevelType w:val="singleLevel"/>
    <w:tmpl w:val="46429BD7"/>
    <w:lvl w:ilvl="0" w:tentative="0">
      <w:start w:val="1"/>
      <w:numFmt w:val="bullet"/>
      <w:lvlText w:val=""/>
      <w:lvlJc w:val="left"/>
      <w:pPr>
        <w:ind w:left="420" w:hanging="420"/>
      </w:pPr>
      <w:rPr>
        <w:rFonts w:hint="default" w:ascii="Wingdings" w:hAnsi="Wingdings"/>
      </w:r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778DE"/>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D7A53"/>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6681"/>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C1D"/>
    <w:rsid w:val="00270FA0"/>
    <w:rsid w:val="00271ED8"/>
    <w:rsid w:val="002730ED"/>
    <w:rsid w:val="00275699"/>
    <w:rsid w:val="00280BDD"/>
    <w:rsid w:val="00281718"/>
    <w:rsid w:val="002855D0"/>
    <w:rsid w:val="00290E18"/>
    <w:rsid w:val="00291D54"/>
    <w:rsid w:val="0029560B"/>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0348"/>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6F0"/>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8D3"/>
    <w:rsid w:val="004E3A45"/>
    <w:rsid w:val="004E3B7D"/>
    <w:rsid w:val="004E3E3E"/>
    <w:rsid w:val="004E5219"/>
    <w:rsid w:val="004E5753"/>
    <w:rsid w:val="004E63AE"/>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3F2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2181"/>
    <w:rsid w:val="005A3156"/>
    <w:rsid w:val="005A4048"/>
    <w:rsid w:val="005A53DF"/>
    <w:rsid w:val="005A6185"/>
    <w:rsid w:val="005B052E"/>
    <w:rsid w:val="005B220B"/>
    <w:rsid w:val="005B2E19"/>
    <w:rsid w:val="005B66D2"/>
    <w:rsid w:val="005B7842"/>
    <w:rsid w:val="005C114A"/>
    <w:rsid w:val="005C1AC7"/>
    <w:rsid w:val="005C20A4"/>
    <w:rsid w:val="005C2356"/>
    <w:rsid w:val="005C4B5D"/>
    <w:rsid w:val="005C75A2"/>
    <w:rsid w:val="005D57F1"/>
    <w:rsid w:val="005D680C"/>
    <w:rsid w:val="005E06D3"/>
    <w:rsid w:val="005E200F"/>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07E7"/>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B4E37"/>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2954"/>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35DE6"/>
    <w:rsid w:val="00A44BE1"/>
    <w:rsid w:val="00A4500D"/>
    <w:rsid w:val="00A50415"/>
    <w:rsid w:val="00A51EFE"/>
    <w:rsid w:val="00A542B8"/>
    <w:rsid w:val="00A54719"/>
    <w:rsid w:val="00A54C08"/>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AC"/>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B7947"/>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30D"/>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E2"/>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C62C0"/>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47F29"/>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2CAB"/>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6626E"/>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AB0"/>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E7D5B"/>
    <w:rsid w:val="00FF0471"/>
    <w:rsid w:val="00FF0AAD"/>
    <w:rsid w:val="00FF29CE"/>
    <w:rsid w:val="00FF2E7C"/>
    <w:rsid w:val="00FF2EAF"/>
    <w:rsid w:val="00FF33F4"/>
    <w:rsid w:val="01131166"/>
    <w:rsid w:val="013605CD"/>
    <w:rsid w:val="013A7DB8"/>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E26E7"/>
    <w:rsid w:val="01BF7678"/>
    <w:rsid w:val="01C05D49"/>
    <w:rsid w:val="01C66A3F"/>
    <w:rsid w:val="01EE78D1"/>
    <w:rsid w:val="02017286"/>
    <w:rsid w:val="021023F0"/>
    <w:rsid w:val="02115596"/>
    <w:rsid w:val="0212463B"/>
    <w:rsid w:val="02142423"/>
    <w:rsid w:val="02145888"/>
    <w:rsid w:val="021627D8"/>
    <w:rsid w:val="021E5998"/>
    <w:rsid w:val="022D295E"/>
    <w:rsid w:val="024412BB"/>
    <w:rsid w:val="02490685"/>
    <w:rsid w:val="024A4AC8"/>
    <w:rsid w:val="024B320F"/>
    <w:rsid w:val="025B205B"/>
    <w:rsid w:val="02657A19"/>
    <w:rsid w:val="02664651"/>
    <w:rsid w:val="02737CFE"/>
    <w:rsid w:val="027D5B49"/>
    <w:rsid w:val="02825D7D"/>
    <w:rsid w:val="028A67A0"/>
    <w:rsid w:val="028B3E82"/>
    <w:rsid w:val="0293518F"/>
    <w:rsid w:val="0297259A"/>
    <w:rsid w:val="029C0A9A"/>
    <w:rsid w:val="02A54047"/>
    <w:rsid w:val="02A7793D"/>
    <w:rsid w:val="02BA02BA"/>
    <w:rsid w:val="02C62E55"/>
    <w:rsid w:val="02DE44D9"/>
    <w:rsid w:val="02E102C7"/>
    <w:rsid w:val="02E712F2"/>
    <w:rsid w:val="02E968F1"/>
    <w:rsid w:val="02F2568C"/>
    <w:rsid w:val="031228FB"/>
    <w:rsid w:val="03202434"/>
    <w:rsid w:val="0347521D"/>
    <w:rsid w:val="034758F6"/>
    <w:rsid w:val="034C0A3C"/>
    <w:rsid w:val="035A5498"/>
    <w:rsid w:val="035B5483"/>
    <w:rsid w:val="035E567B"/>
    <w:rsid w:val="036C3B3B"/>
    <w:rsid w:val="037175E3"/>
    <w:rsid w:val="037F16FE"/>
    <w:rsid w:val="03857386"/>
    <w:rsid w:val="03892EFE"/>
    <w:rsid w:val="03947098"/>
    <w:rsid w:val="039A2405"/>
    <w:rsid w:val="039A4F82"/>
    <w:rsid w:val="039A7700"/>
    <w:rsid w:val="039E0CFF"/>
    <w:rsid w:val="03BD31AF"/>
    <w:rsid w:val="03BE00C0"/>
    <w:rsid w:val="03D52450"/>
    <w:rsid w:val="03E9137F"/>
    <w:rsid w:val="03EA4E7A"/>
    <w:rsid w:val="03EB5E4F"/>
    <w:rsid w:val="03EC1D7B"/>
    <w:rsid w:val="03F148CD"/>
    <w:rsid w:val="03F334EB"/>
    <w:rsid w:val="03F66D17"/>
    <w:rsid w:val="03FE0DFE"/>
    <w:rsid w:val="04067142"/>
    <w:rsid w:val="040D6866"/>
    <w:rsid w:val="041C2081"/>
    <w:rsid w:val="041F033F"/>
    <w:rsid w:val="042320E4"/>
    <w:rsid w:val="043E7F06"/>
    <w:rsid w:val="044469A4"/>
    <w:rsid w:val="04456CA0"/>
    <w:rsid w:val="0451320B"/>
    <w:rsid w:val="04525CA6"/>
    <w:rsid w:val="045763FA"/>
    <w:rsid w:val="046A6CFC"/>
    <w:rsid w:val="047034F5"/>
    <w:rsid w:val="04754B65"/>
    <w:rsid w:val="04861082"/>
    <w:rsid w:val="048A123B"/>
    <w:rsid w:val="048C5BD9"/>
    <w:rsid w:val="04996B65"/>
    <w:rsid w:val="049A5BDC"/>
    <w:rsid w:val="04CE2A33"/>
    <w:rsid w:val="04DE3796"/>
    <w:rsid w:val="04EB5671"/>
    <w:rsid w:val="04ED36E0"/>
    <w:rsid w:val="04FB5FD2"/>
    <w:rsid w:val="05074EE1"/>
    <w:rsid w:val="050C31AF"/>
    <w:rsid w:val="05174168"/>
    <w:rsid w:val="051E36E6"/>
    <w:rsid w:val="053166CA"/>
    <w:rsid w:val="05332C41"/>
    <w:rsid w:val="053B0878"/>
    <w:rsid w:val="05484C31"/>
    <w:rsid w:val="054C7D3F"/>
    <w:rsid w:val="054D4214"/>
    <w:rsid w:val="054F7EAD"/>
    <w:rsid w:val="05526E77"/>
    <w:rsid w:val="055F5BBF"/>
    <w:rsid w:val="056D39BD"/>
    <w:rsid w:val="0570041A"/>
    <w:rsid w:val="058267E3"/>
    <w:rsid w:val="058442CB"/>
    <w:rsid w:val="05B21BDC"/>
    <w:rsid w:val="05BA015B"/>
    <w:rsid w:val="05D1713F"/>
    <w:rsid w:val="05D92123"/>
    <w:rsid w:val="05E024B6"/>
    <w:rsid w:val="05E85645"/>
    <w:rsid w:val="05EA349A"/>
    <w:rsid w:val="05F13BE9"/>
    <w:rsid w:val="05F178AC"/>
    <w:rsid w:val="06022874"/>
    <w:rsid w:val="060A555D"/>
    <w:rsid w:val="06136726"/>
    <w:rsid w:val="06293C52"/>
    <w:rsid w:val="06406186"/>
    <w:rsid w:val="064D7E31"/>
    <w:rsid w:val="0653589F"/>
    <w:rsid w:val="06577E85"/>
    <w:rsid w:val="066F0DC7"/>
    <w:rsid w:val="067B2B71"/>
    <w:rsid w:val="067F0396"/>
    <w:rsid w:val="06826E5C"/>
    <w:rsid w:val="068A7868"/>
    <w:rsid w:val="069621D1"/>
    <w:rsid w:val="069E5DC0"/>
    <w:rsid w:val="06A944F9"/>
    <w:rsid w:val="06AE08FD"/>
    <w:rsid w:val="06AF5E97"/>
    <w:rsid w:val="06B0415F"/>
    <w:rsid w:val="06B436F8"/>
    <w:rsid w:val="06B971E4"/>
    <w:rsid w:val="06BB3C62"/>
    <w:rsid w:val="06C4446E"/>
    <w:rsid w:val="06C94924"/>
    <w:rsid w:val="06CC4C2E"/>
    <w:rsid w:val="06CE3E32"/>
    <w:rsid w:val="06D97CA7"/>
    <w:rsid w:val="06EE5F3A"/>
    <w:rsid w:val="06F614B2"/>
    <w:rsid w:val="06F628A6"/>
    <w:rsid w:val="06F90F74"/>
    <w:rsid w:val="06FC5420"/>
    <w:rsid w:val="06FE56CC"/>
    <w:rsid w:val="0701056C"/>
    <w:rsid w:val="07056544"/>
    <w:rsid w:val="0706413A"/>
    <w:rsid w:val="070B53E0"/>
    <w:rsid w:val="070F4249"/>
    <w:rsid w:val="071E610B"/>
    <w:rsid w:val="07387A0E"/>
    <w:rsid w:val="073A5BF2"/>
    <w:rsid w:val="074C3ADF"/>
    <w:rsid w:val="07505A8A"/>
    <w:rsid w:val="075926F1"/>
    <w:rsid w:val="07625AB8"/>
    <w:rsid w:val="07722969"/>
    <w:rsid w:val="07755A04"/>
    <w:rsid w:val="0776536C"/>
    <w:rsid w:val="078158EA"/>
    <w:rsid w:val="07843668"/>
    <w:rsid w:val="07847AEC"/>
    <w:rsid w:val="079368A6"/>
    <w:rsid w:val="07AA6390"/>
    <w:rsid w:val="07B47F2F"/>
    <w:rsid w:val="07BE2890"/>
    <w:rsid w:val="07C4242C"/>
    <w:rsid w:val="07C84D70"/>
    <w:rsid w:val="07E121C2"/>
    <w:rsid w:val="07E13470"/>
    <w:rsid w:val="07E62C3B"/>
    <w:rsid w:val="07EC790A"/>
    <w:rsid w:val="07F50292"/>
    <w:rsid w:val="07FB7441"/>
    <w:rsid w:val="07FE63E8"/>
    <w:rsid w:val="080B371E"/>
    <w:rsid w:val="083D222A"/>
    <w:rsid w:val="083E7D1C"/>
    <w:rsid w:val="083F69AD"/>
    <w:rsid w:val="08555405"/>
    <w:rsid w:val="08561FA2"/>
    <w:rsid w:val="08590F51"/>
    <w:rsid w:val="086334CF"/>
    <w:rsid w:val="08690BF0"/>
    <w:rsid w:val="086F5EC2"/>
    <w:rsid w:val="0877760D"/>
    <w:rsid w:val="08787E39"/>
    <w:rsid w:val="08850BAD"/>
    <w:rsid w:val="088708B1"/>
    <w:rsid w:val="08896E68"/>
    <w:rsid w:val="089E1AEE"/>
    <w:rsid w:val="08A1177C"/>
    <w:rsid w:val="08B02DDD"/>
    <w:rsid w:val="08B8496E"/>
    <w:rsid w:val="08B86553"/>
    <w:rsid w:val="08BB6EAC"/>
    <w:rsid w:val="08CA2035"/>
    <w:rsid w:val="08E33A5D"/>
    <w:rsid w:val="08EA1C68"/>
    <w:rsid w:val="08F22BC2"/>
    <w:rsid w:val="08F54145"/>
    <w:rsid w:val="08FC7AC7"/>
    <w:rsid w:val="08FE5C78"/>
    <w:rsid w:val="09021076"/>
    <w:rsid w:val="09065647"/>
    <w:rsid w:val="09091114"/>
    <w:rsid w:val="090968DC"/>
    <w:rsid w:val="0915066C"/>
    <w:rsid w:val="091F50AB"/>
    <w:rsid w:val="092464BF"/>
    <w:rsid w:val="09330B6E"/>
    <w:rsid w:val="09392AF8"/>
    <w:rsid w:val="093D21A1"/>
    <w:rsid w:val="093E5899"/>
    <w:rsid w:val="094311F4"/>
    <w:rsid w:val="094F257F"/>
    <w:rsid w:val="096D227C"/>
    <w:rsid w:val="09712D2D"/>
    <w:rsid w:val="0980678C"/>
    <w:rsid w:val="098246C4"/>
    <w:rsid w:val="09833FE3"/>
    <w:rsid w:val="098E7F46"/>
    <w:rsid w:val="09A46C06"/>
    <w:rsid w:val="09A955D3"/>
    <w:rsid w:val="09B81315"/>
    <w:rsid w:val="09C068A5"/>
    <w:rsid w:val="09C1228B"/>
    <w:rsid w:val="09CA0AC6"/>
    <w:rsid w:val="09D50EC2"/>
    <w:rsid w:val="09E0190E"/>
    <w:rsid w:val="09F46281"/>
    <w:rsid w:val="09F546E9"/>
    <w:rsid w:val="09F7192D"/>
    <w:rsid w:val="09FD4DBD"/>
    <w:rsid w:val="0A090AAC"/>
    <w:rsid w:val="0A13246C"/>
    <w:rsid w:val="0A204B1C"/>
    <w:rsid w:val="0A2E5DB1"/>
    <w:rsid w:val="0A2F46DB"/>
    <w:rsid w:val="0A337541"/>
    <w:rsid w:val="0A386426"/>
    <w:rsid w:val="0A410828"/>
    <w:rsid w:val="0A416D4C"/>
    <w:rsid w:val="0A4E1BB6"/>
    <w:rsid w:val="0A575370"/>
    <w:rsid w:val="0A5C2E75"/>
    <w:rsid w:val="0A6277D4"/>
    <w:rsid w:val="0A6614C9"/>
    <w:rsid w:val="0A664AD3"/>
    <w:rsid w:val="0A7232D3"/>
    <w:rsid w:val="0A97216E"/>
    <w:rsid w:val="0A9C11D4"/>
    <w:rsid w:val="0AA5549A"/>
    <w:rsid w:val="0AAE3C34"/>
    <w:rsid w:val="0AB57D41"/>
    <w:rsid w:val="0AB74037"/>
    <w:rsid w:val="0ABB64D4"/>
    <w:rsid w:val="0ABF5314"/>
    <w:rsid w:val="0AEC1244"/>
    <w:rsid w:val="0AF957A7"/>
    <w:rsid w:val="0B104C80"/>
    <w:rsid w:val="0B1537E9"/>
    <w:rsid w:val="0B1B0258"/>
    <w:rsid w:val="0B2F5449"/>
    <w:rsid w:val="0B3A6177"/>
    <w:rsid w:val="0B411767"/>
    <w:rsid w:val="0B542366"/>
    <w:rsid w:val="0B5841D8"/>
    <w:rsid w:val="0B625907"/>
    <w:rsid w:val="0B6D671D"/>
    <w:rsid w:val="0B800594"/>
    <w:rsid w:val="0B833CB9"/>
    <w:rsid w:val="0B8459A2"/>
    <w:rsid w:val="0BA01E5E"/>
    <w:rsid w:val="0BA40793"/>
    <w:rsid w:val="0BAD0572"/>
    <w:rsid w:val="0BB2327B"/>
    <w:rsid w:val="0BB77542"/>
    <w:rsid w:val="0BC1136C"/>
    <w:rsid w:val="0BC87CC9"/>
    <w:rsid w:val="0BCB4512"/>
    <w:rsid w:val="0BD9718B"/>
    <w:rsid w:val="0BE64BE6"/>
    <w:rsid w:val="0BEA1A76"/>
    <w:rsid w:val="0BEB698D"/>
    <w:rsid w:val="0BF4523A"/>
    <w:rsid w:val="0C022CD6"/>
    <w:rsid w:val="0C0F2FEF"/>
    <w:rsid w:val="0C1737C3"/>
    <w:rsid w:val="0C21687B"/>
    <w:rsid w:val="0C221921"/>
    <w:rsid w:val="0C2B7B6C"/>
    <w:rsid w:val="0C35257F"/>
    <w:rsid w:val="0C5C4277"/>
    <w:rsid w:val="0C616D3B"/>
    <w:rsid w:val="0C70637B"/>
    <w:rsid w:val="0C710975"/>
    <w:rsid w:val="0C7A6655"/>
    <w:rsid w:val="0C7D69BF"/>
    <w:rsid w:val="0C903E15"/>
    <w:rsid w:val="0CA16784"/>
    <w:rsid w:val="0CB47222"/>
    <w:rsid w:val="0CB5613D"/>
    <w:rsid w:val="0CCA31B6"/>
    <w:rsid w:val="0CCE60AE"/>
    <w:rsid w:val="0CE2368A"/>
    <w:rsid w:val="0CE55396"/>
    <w:rsid w:val="0CE84F82"/>
    <w:rsid w:val="0CEF6EBA"/>
    <w:rsid w:val="0CF31DF7"/>
    <w:rsid w:val="0D174F8A"/>
    <w:rsid w:val="0D2C3BFA"/>
    <w:rsid w:val="0D442B8A"/>
    <w:rsid w:val="0D4618D1"/>
    <w:rsid w:val="0D470E01"/>
    <w:rsid w:val="0D5412D9"/>
    <w:rsid w:val="0D563E1D"/>
    <w:rsid w:val="0D5D28E6"/>
    <w:rsid w:val="0D663D82"/>
    <w:rsid w:val="0D6D666D"/>
    <w:rsid w:val="0D7545AF"/>
    <w:rsid w:val="0D784EF3"/>
    <w:rsid w:val="0D8219EA"/>
    <w:rsid w:val="0D823563"/>
    <w:rsid w:val="0D8C2318"/>
    <w:rsid w:val="0D916371"/>
    <w:rsid w:val="0D9749CB"/>
    <w:rsid w:val="0D9F62EE"/>
    <w:rsid w:val="0DA858B9"/>
    <w:rsid w:val="0DAD46AB"/>
    <w:rsid w:val="0DB83232"/>
    <w:rsid w:val="0DBB534C"/>
    <w:rsid w:val="0DBC5333"/>
    <w:rsid w:val="0DBE49F8"/>
    <w:rsid w:val="0DBF18EC"/>
    <w:rsid w:val="0DC96810"/>
    <w:rsid w:val="0DCC121C"/>
    <w:rsid w:val="0DD11D57"/>
    <w:rsid w:val="0DDC7792"/>
    <w:rsid w:val="0DE7427C"/>
    <w:rsid w:val="0DED07C4"/>
    <w:rsid w:val="0DEE33D9"/>
    <w:rsid w:val="0DF1033C"/>
    <w:rsid w:val="0DFE5905"/>
    <w:rsid w:val="0E022856"/>
    <w:rsid w:val="0E0B52D7"/>
    <w:rsid w:val="0E104D98"/>
    <w:rsid w:val="0E1369CD"/>
    <w:rsid w:val="0E14352D"/>
    <w:rsid w:val="0E2804B2"/>
    <w:rsid w:val="0E28192B"/>
    <w:rsid w:val="0E2C1FF5"/>
    <w:rsid w:val="0E2F597F"/>
    <w:rsid w:val="0E37108C"/>
    <w:rsid w:val="0E416D59"/>
    <w:rsid w:val="0E4D26CC"/>
    <w:rsid w:val="0E560EFD"/>
    <w:rsid w:val="0E6A01E6"/>
    <w:rsid w:val="0E8C09CF"/>
    <w:rsid w:val="0E8D03D6"/>
    <w:rsid w:val="0E913015"/>
    <w:rsid w:val="0E930DC4"/>
    <w:rsid w:val="0E950B65"/>
    <w:rsid w:val="0EA41BE0"/>
    <w:rsid w:val="0EAD2320"/>
    <w:rsid w:val="0EC509E4"/>
    <w:rsid w:val="0ECB2FB3"/>
    <w:rsid w:val="0ECC22F2"/>
    <w:rsid w:val="0ED4677A"/>
    <w:rsid w:val="0ED64E1A"/>
    <w:rsid w:val="0EDC06F9"/>
    <w:rsid w:val="0EE1071D"/>
    <w:rsid w:val="0EE53D9E"/>
    <w:rsid w:val="0EF05D44"/>
    <w:rsid w:val="0EFD6649"/>
    <w:rsid w:val="0EFF4DCA"/>
    <w:rsid w:val="0F065C14"/>
    <w:rsid w:val="0F0869CE"/>
    <w:rsid w:val="0F0F0B31"/>
    <w:rsid w:val="0F1028FC"/>
    <w:rsid w:val="0F13714E"/>
    <w:rsid w:val="0F1A2E30"/>
    <w:rsid w:val="0F1B123C"/>
    <w:rsid w:val="0F217358"/>
    <w:rsid w:val="0F2532AC"/>
    <w:rsid w:val="0F27392A"/>
    <w:rsid w:val="0F307127"/>
    <w:rsid w:val="0F3D7225"/>
    <w:rsid w:val="0F424B0D"/>
    <w:rsid w:val="0F4501A0"/>
    <w:rsid w:val="0F4A1CDE"/>
    <w:rsid w:val="0F4A7E65"/>
    <w:rsid w:val="0F5010BD"/>
    <w:rsid w:val="0F557405"/>
    <w:rsid w:val="0F5626C1"/>
    <w:rsid w:val="0F63349B"/>
    <w:rsid w:val="0F634273"/>
    <w:rsid w:val="0F790B07"/>
    <w:rsid w:val="0F7C5775"/>
    <w:rsid w:val="0F7F7301"/>
    <w:rsid w:val="0F847A92"/>
    <w:rsid w:val="0F99304D"/>
    <w:rsid w:val="0F9D3AE8"/>
    <w:rsid w:val="0FB506C9"/>
    <w:rsid w:val="0FB52E3F"/>
    <w:rsid w:val="0FBF7F6A"/>
    <w:rsid w:val="0FCC249F"/>
    <w:rsid w:val="0FDD3ABD"/>
    <w:rsid w:val="0FDD41C9"/>
    <w:rsid w:val="0FE81260"/>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31643"/>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BC59DC"/>
    <w:rsid w:val="11CC1838"/>
    <w:rsid w:val="11CF6BAC"/>
    <w:rsid w:val="11DB1A57"/>
    <w:rsid w:val="11F33AF7"/>
    <w:rsid w:val="120209EA"/>
    <w:rsid w:val="120803FE"/>
    <w:rsid w:val="1208044F"/>
    <w:rsid w:val="120838DF"/>
    <w:rsid w:val="121264F9"/>
    <w:rsid w:val="12164442"/>
    <w:rsid w:val="121E625C"/>
    <w:rsid w:val="12205607"/>
    <w:rsid w:val="12214918"/>
    <w:rsid w:val="122350B5"/>
    <w:rsid w:val="123239D8"/>
    <w:rsid w:val="12590D08"/>
    <w:rsid w:val="125A2D78"/>
    <w:rsid w:val="125F75C5"/>
    <w:rsid w:val="127C42A0"/>
    <w:rsid w:val="1281311E"/>
    <w:rsid w:val="129137BD"/>
    <w:rsid w:val="129974F8"/>
    <w:rsid w:val="129D5290"/>
    <w:rsid w:val="12AB4AA1"/>
    <w:rsid w:val="12D01022"/>
    <w:rsid w:val="12D86D99"/>
    <w:rsid w:val="12E638A9"/>
    <w:rsid w:val="12E72220"/>
    <w:rsid w:val="12EF1DC3"/>
    <w:rsid w:val="12EF741A"/>
    <w:rsid w:val="12F254D0"/>
    <w:rsid w:val="12F56F23"/>
    <w:rsid w:val="12F7611B"/>
    <w:rsid w:val="12FE42D6"/>
    <w:rsid w:val="130A5E23"/>
    <w:rsid w:val="130A6E4F"/>
    <w:rsid w:val="13180C99"/>
    <w:rsid w:val="131C3CE3"/>
    <w:rsid w:val="131D5C4A"/>
    <w:rsid w:val="132A76BE"/>
    <w:rsid w:val="13353240"/>
    <w:rsid w:val="13611100"/>
    <w:rsid w:val="136345D4"/>
    <w:rsid w:val="1365208E"/>
    <w:rsid w:val="136C1339"/>
    <w:rsid w:val="136C297C"/>
    <w:rsid w:val="137C093B"/>
    <w:rsid w:val="137C409F"/>
    <w:rsid w:val="1396509F"/>
    <w:rsid w:val="13977F36"/>
    <w:rsid w:val="139D0995"/>
    <w:rsid w:val="13AE3872"/>
    <w:rsid w:val="13B567C3"/>
    <w:rsid w:val="13BB7F7B"/>
    <w:rsid w:val="13D22757"/>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E5887"/>
    <w:rsid w:val="148F7411"/>
    <w:rsid w:val="14A45533"/>
    <w:rsid w:val="14AA0E19"/>
    <w:rsid w:val="14AD5F48"/>
    <w:rsid w:val="14AE35FC"/>
    <w:rsid w:val="14B90961"/>
    <w:rsid w:val="14D601A3"/>
    <w:rsid w:val="14E44113"/>
    <w:rsid w:val="14EA55B7"/>
    <w:rsid w:val="15093660"/>
    <w:rsid w:val="150E4907"/>
    <w:rsid w:val="151F751C"/>
    <w:rsid w:val="152155FD"/>
    <w:rsid w:val="153D235D"/>
    <w:rsid w:val="154821B7"/>
    <w:rsid w:val="15490EAF"/>
    <w:rsid w:val="154A1648"/>
    <w:rsid w:val="154E25E9"/>
    <w:rsid w:val="154E5242"/>
    <w:rsid w:val="155810A4"/>
    <w:rsid w:val="155A6F21"/>
    <w:rsid w:val="155C65AE"/>
    <w:rsid w:val="15696273"/>
    <w:rsid w:val="156A61CE"/>
    <w:rsid w:val="156F3E1F"/>
    <w:rsid w:val="156F44D4"/>
    <w:rsid w:val="15715B51"/>
    <w:rsid w:val="1574744F"/>
    <w:rsid w:val="15810540"/>
    <w:rsid w:val="15823994"/>
    <w:rsid w:val="159260CF"/>
    <w:rsid w:val="15947046"/>
    <w:rsid w:val="15951987"/>
    <w:rsid w:val="15A0619E"/>
    <w:rsid w:val="15B05575"/>
    <w:rsid w:val="15B72752"/>
    <w:rsid w:val="15BA166F"/>
    <w:rsid w:val="15BC501A"/>
    <w:rsid w:val="15BD418E"/>
    <w:rsid w:val="15C416B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14A63"/>
    <w:rsid w:val="16A21F5B"/>
    <w:rsid w:val="16BE1D19"/>
    <w:rsid w:val="16C00555"/>
    <w:rsid w:val="16CE647B"/>
    <w:rsid w:val="16DF2B07"/>
    <w:rsid w:val="16E16FE9"/>
    <w:rsid w:val="16E7282C"/>
    <w:rsid w:val="16FE3110"/>
    <w:rsid w:val="170038AE"/>
    <w:rsid w:val="17026F10"/>
    <w:rsid w:val="170A3FAB"/>
    <w:rsid w:val="17275E00"/>
    <w:rsid w:val="173426EA"/>
    <w:rsid w:val="17380DC9"/>
    <w:rsid w:val="173E4C52"/>
    <w:rsid w:val="17432E41"/>
    <w:rsid w:val="174B3A7D"/>
    <w:rsid w:val="175454DC"/>
    <w:rsid w:val="17636FAF"/>
    <w:rsid w:val="17702879"/>
    <w:rsid w:val="177761B3"/>
    <w:rsid w:val="177A62FB"/>
    <w:rsid w:val="178424FA"/>
    <w:rsid w:val="178D2C84"/>
    <w:rsid w:val="178D7F71"/>
    <w:rsid w:val="179D6E85"/>
    <w:rsid w:val="179E7495"/>
    <w:rsid w:val="17A026E1"/>
    <w:rsid w:val="17AB2B97"/>
    <w:rsid w:val="17C66C3A"/>
    <w:rsid w:val="17CE580D"/>
    <w:rsid w:val="17D424A0"/>
    <w:rsid w:val="17D83819"/>
    <w:rsid w:val="17E13F4B"/>
    <w:rsid w:val="17F60521"/>
    <w:rsid w:val="17FF4999"/>
    <w:rsid w:val="180C023B"/>
    <w:rsid w:val="18170776"/>
    <w:rsid w:val="18226EE6"/>
    <w:rsid w:val="18263CE7"/>
    <w:rsid w:val="182B4F94"/>
    <w:rsid w:val="18366840"/>
    <w:rsid w:val="18535C42"/>
    <w:rsid w:val="18641C3D"/>
    <w:rsid w:val="1867487B"/>
    <w:rsid w:val="18695C89"/>
    <w:rsid w:val="18700C08"/>
    <w:rsid w:val="18764199"/>
    <w:rsid w:val="18767335"/>
    <w:rsid w:val="18786E06"/>
    <w:rsid w:val="187B535F"/>
    <w:rsid w:val="188726D4"/>
    <w:rsid w:val="189C51CA"/>
    <w:rsid w:val="189C5A97"/>
    <w:rsid w:val="18A459CA"/>
    <w:rsid w:val="18A66233"/>
    <w:rsid w:val="18B22B5C"/>
    <w:rsid w:val="18B32649"/>
    <w:rsid w:val="18B84CB0"/>
    <w:rsid w:val="18C605BC"/>
    <w:rsid w:val="18DE1AEB"/>
    <w:rsid w:val="18E01115"/>
    <w:rsid w:val="18E37D51"/>
    <w:rsid w:val="18E41E18"/>
    <w:rsid w:val="18ED2210"/>
    <w:rsid w:val="18F33F2C"/>
    <w:rsid w:val="18F56338"/>
    <w:rsid w:val="18FC34F8"/>
    <w:rsid w:val="19090872"/>
    <w:rsid w:val="190C0ABD"/>
    <w:rsid w:val="191E16C3"/>
    <w:rsid w:val="19200A35"/>
    <w:rsid w:val="192141D8"/>
    <w:rsid w:val="19306452"/>
    <w:rsid w:val="19352F90"/>
    <w:rsid w:val="194452C6"/>
    <w:rsid w:val="19447EB2"/>
    <w:rsid w:val="19471E13"/>
    <w:rsid w:val="194E56C4"/>
    <w:rsid w:val="19684F1E"/>
    <w:rsid w:val="19B00ED9"/>
    <w:rsid w:val="19B56E5D"/>
    <w:rsid w:val="19B93C2B"/>
    <w:rsid w:val="19BD310F"/>
    <w:rsid w:val="19CB397F"/>
    <w:rsid w:val="19D74D72"/>
    <w:rsid w:val="19D9306B"/>
    <w:rsid w:val="19DB0D1B"/>
    <w:rsid w:val="19EA15B3"/>
    <w:rsid w:val="19F5126C"/>
    <w:rsid w:val="19FA1601"/>
    <w:rsid w:val="19FC4936"/>
    <w:rsid w:val="1A1B5D5C"/>
    <w:rsid w:val="1A1D6630"/>
    <w:rsid w:val="1A2500EE"/>
    <w:rsid w:val="1A4B7D0E"/>
    <w:rsid w:val="1A4F26CC"/>
    <w:rsid w:val="1A552131"/>
    <w:rsid w:val="1A573AB7"/>
    <w:rsid w:val="1A7702EA"/>
    <w:rsid w:val="1A7C32FF"/>
    <w:rsid w:val="1A80010B"/>
    <w:rsid w:val="1A91794A"/>
    <w:rsid w:val="1A95297B"/>
    <w:rsid w:val="1A9E713F"/>
    <w:rsid w:val="1AA1145C"/>
    <w:rsid w:val="1AAD30FA"/>
    <w:rsid w:val="1AAE16C4"/>
    <w:rsid w:val="1AB13940"/>
    <w:rsid w:val="1ABA705B"/>
    <w:rsid w:val="1ABB69D4"/>
    <w:rsid w:val="1AC97242"/>
    <w:rsid w:val="1ACC76E0"/>
    <w:rsid w:val="1ACF27B9"/>
    <w:rsid w:val="1AD27A8D"/>
    <w:rsid w:val="1AD41D2D"/>
    <w:rsid w:val="1AD7515E"/>
    <w:rsid w:val="1AD8130A"/>
    <w:rsid w:val="1ADD5AFD"/>
    <w:rsid w:val="1AE93C9B"/>
    <w:rsid w:val="1AF21DA7"/>
    <w:rsid w:val="1AFA2A71"/>
    <w:rsid w:val="1B0E1D09"/>
    <w:rsid w:val="1B2929AB"/>
    <w:rsid w:val="1B47772F"/>
    <w:rsid w:val="1B50538E"/>
    <w:rsid w:val="1B5322E9"/>
    <w:rsid w:val="1B5F7807"/>
    <w:rsid w:val="1B607248"/>
    <w:rsid w:val="1B612AFA"/>
    <w:rsid w:val="1B693EA3"/>
    <w:rsid w:val="1B6B1131"/>
    <w:rsid w:val="1B6C25E8"/>
    <w:rsid w:val="1B741476"/>
    <w:rsid w:val="1B793426"/>
    <w:rsid w:val="1B801536"/>
    <w:rsid w:val="1B8260BC"/>
    <w:rsid w:val="1B8962CA"/>
    <w:rsid w:val="1B8A2061"/>
    <w:rsid w:val="1B8C0514"/>
    <w:rsid w:val="1BAA2BCF"/>
    <w:rsid w:val="1BC26417"/>
    <w:rsid w:val="1BD925D2"/>
    <w:rsid w:val="1BFA0C60"/>
    <w:rsid w:val="1C076C7C"/>
    <w:rsid w:val="1C085156"/>
    <w:rsid w:val="1C161A83"/>
    <w:rsid w:val="1C1C4D13"/>
    <w:rsid w:val="1C286495"/>
    <w:rsid w:val="1C296C3D"/>
    <w:rsid w:val="1C3A709B"/>
    <w:rsid w:val="1C49655C"/>
    <w:rsid w:val="1C512779"/>
    <w:rsid w:val="1C6575F7"/>
    <w:rsid w:val="1C6A4019"/>
    <w:rsid w:val="1C712D2E"/>
    <w:rsid w:val="1C762823"/>
    <w:rsid w:val="1C7802BE"/>
    <w:rsid w:val="1C804FFC"/>
    <w:rsid w:val="1C811EBE"/>
    <w:rsid w:val="1C877AB6"/>
    <w:rsid w:val="1C8D0A04"/>
    <w:rsid w:val="1C8D3996"/>
    <w:rsid w:val="1C914E6E"/>
    <w:rsid w:val="1C9C1BE4"/>
    <w:rsid w:val="1CA0266C"/>
    <w:rsid w:val="1CA7140E"/>
    <w:rsid w:val="1CAD3858"/>
    <w:rsid w:val="1CAF18A4"/>
    <w:rsid w:val="1CBA342B"/>
    <w:rsid w:val="1CBF29DF"/>
    <w:rsid w:val="1CC04946"/>
    <w:rsid w:val="1CC400CD"/>
    <w:rsid w:val="1CCA7433"/>
    <w:rsid w:val="1CCE78A2"/>
    <w:rsid w:val="1CD75D57"/>
    <w:rsid w:val="1CDC087A"/>
    <w:rsid w:val="1CE00F78"/>
    <w:rsid w:val="1CFB474C"/>
    <w:rsid w:val="1D02590C"/>
    <w:rsid w:val="1D052D81"/>
    <w:rsid w:val="1D0870C6"/>
    <w:rsid w:val="1D110690"/>
    <w:rsid w:val="1D1E5C67"/>
    <w:rsid w:val="1D2C43C8"/>
    <w:rsid w:val="1D335855"/>
    <w:rsid w:val="1D3507AD"/>
    <w:rsid w:val="1D3F4F0A"/>
    <w:rsid w:val="1D4B2871"/>
    <w:rsid w:val="1D6747F5"/>
    <w:rsid w:val="1D702483"/>
    <w:rsid w:val="1D7B7BDF"/>
    <w:rsid w:val="1D7C0AC5"/>
    <w:rsid w:val="1D812F92"/>
    <w:rsid w:val="1D850034"/>
    <w:rsid w:val="1D8B6EC0"/>
    <w:rsid w:val="1DA70EBB"/>
    <w:rsid w:val="1DAF4844"/>
    <w:rsid w:val="1DB15797"/>
    <w:rsid w:val="1DC43BC4"/>
    <w:rsid w:val="1DCC34E5"/>
    <w:rsid w:val="1DCF2EDB"/>
    <w:rsid w:val="1DDE47B5"/>
    <w:rsid w:val="1DF10056"/>
    <w:rsid w:val="1DFD5D66"/>
    <w:rsid w:val="1E14336E"/>
    <w:rsid w:val="1E1C0F23"/>
    <w:rsid w:val="1E1D3350"/>
    <w:rsid w:val="1E2D3856"/>
    <w:rsid w:val="1E2E6394"/>
    <w:rsid w:val="1E4C7C99"/>
    <w:rsid w:val="1E4F555E"/>
    <w:rsid w:val="1E6C63D5"/>
    <w:rsid w:val="1E6E29BC"/>
    <w:rsid w:val="1E721FE6"/>
    <w:rsid w:val="1E723392"/>
    <w:rsid w:val="1E842EE0"/>
    <w:rsid w:val="1EA5131C"/>
    <w:rsid w:val="1EAC0652"/>
    <w:rsid w:val="1EC012AB"/>
    <w:rsid w:val="1EC33879"/>
    <w:rsid w:val="1EC97015"/>
    <w:rsid w:val="1ED25FFE"/>
    <w:rsid w:val="1EDD24BC"/>
    <w:rsid w:val="1EE16ED9"/>
    <w:rsid w:val="1EEA0C85"/>
    <w:rsid w:val="1EF85F8B"/>
    <w:rsid w:val="1EFF105D"/>
    <w:rsid w:val="1F1E5DB2"/>
    <w:rsid w:val="1F216DFE"/>
    <w:rsid w:val="1F293665"/>
    <w:rsid w:val="1F296B3C"/>
    <w:rsid w:val="1F2D7AB7"/>
    <w:rsid w:val="1F3C203A"/>
    <w:rsid w:val="1F413BBD"/>
    <w:rsid w:val="1F4154A3"/>
    <w:rsid w:val="1F495793"/>
    <w:rsid w:val="1F4F31D2"/>
    <w:rsid w:val="1F6B3FF0"/>
    <w:rsid w:val="1F8B4035"/>
    <w:rsid w:val="1F8F3B44"/>
    <w:rsid w:val="1FA042BC"/>
    <w:rsid w:val="1FAD75BF"/>
    <w:rsid w:val="1FB87C4A"/>
    <w:rsid w:val="1FB92D4C"/>
    <w:rsid w:val="1FDE1119"/>
    <w:rsid w:val="1FDE5CF0"/>
    <w:rsid w:val="1FE87C2F"/>
    <w:rsid w:val="1FF63782"/>
    <w:rsid w:val="20055D8E"/>
    <w:rsid w:val="200B6BF4"/>
    <w:rsid w:val="200C07A9"/>
    <w:rsid w:val="2010595F"/>
    <w:rsid w:val="201A2AAF"/>
    <w:rsid w:val="20444A13"/>
    <w:rsid w:val="204A3E68"/>
    <w:rsid w:val="204E2B4B"/>
    <w:rsid w:val="204F627F"/>
    <w:rsid w:val="20577738"/>
    <w:rsid w:val="205B6F25"/>
    <w:rsid w:val="206E2E6F"/>
    <w:rsid w:val="20867893"/>
    <w:rsid w:val="2088763D"/>
    <w:rsid w:val="2090198E"/>
    <w:rsid w:val="209F40C4"/>
    <w:rsid w:val="20A523F4"/>
    <w:rsid w:val="20A61892"/>
    <w:rsid w:val="20C12912"/>
    <w:rsid w:val="20C65458"/>
    <w:rsid w:val="20CA4C35"/>
    <w:rsid w:val="20D35DF3"/>
    <w:rsid w:val="20D95613"/>
    <w:rsid w:val="20DB6833"/>
    <w:rsid w:val="20DE6D8D"/>
    <w:rsid w:val="20F30681"/>
    <w:rsid w:val="20FA1C1F"/>
    <w:rsid w:val="20FC1399"/>
    <w:rsid w:val="21090BEB"/>
    <w:rsid w:val="2112563D"/>
    <w:rsid w:val="21133D9A"/>
    <w:rsid w:val="211F3BA8"/>
    <w:rsid w:val="21236E7B"/>
    <w:rsid w:val="212A0315"/>
    <w:rsid w:val="212D6E70"/>
    <w:rsid w:val="21325170"/>
    <w:rsid w:val="21364FE0"/>
    <w:rsid w:val="213C4E2F"/>
    <w:rsid w:val="213D0E8C"/>
    <w:rsid w:val="2140662B"/>
    <w:rsid w:val="214C3CD5"/>
    <w:rsid w:val="2155488E"/>
    <w:rsid w:val="215A0402"/>
    <w:rsid w:val="215A2AFE"/>
    <w:rsid w:val="215F458F"/>
    <w:rsid w:val="21711085"/>
    <w:rsid w:val="217228C9"/>
    <w:rsid w:val="218E0201"/>
    <w:rsid w:val="21926F6C"/>
    <w:rsid w:val="21936236"/>
    <w:rsid w:val="21A71340"/>
    <w:rsid w:val="21AE7BDE"/>
    <w:rsid w:val="21B13AA1"/>
    <w:rsid w:val="21B24080"/>
    <w:rsid w:val="21BB26CD"/>
    <w:rsid w:val="21BF67E6"/>
    <w:rsid w:val="21C051BE"/>
    <w:rsid w:val="21C268DE"/>
    <w:rsid w:val="21D061B3"/>
    <w:rsid w:val="21D24CF4"/>
    <w:rsid w:val="21DE47CF"/>
    <w:rsid w:val="21FA7C76"/>
    <w:rsid w:val="21FB378E"/>
    <w:rsid w:val="22086DD5"/>
    <w:rsid w:val="221122B7"/>
    <w:rsid w:val="221335D5"/>
    <w:rsid w:val="221803B8"/>
    <w:rsid w:val="223F2906"/>
    <w:rsid w:val="224020E6"/>
    <w:rsid w:val="22460F19"/>
    <w:rsid w:val="22481371"/>
    <w:rsid w:val="224C5CF8"/>
    <w:rsid w:val="225B042E"/>
    <w:rsid w:val="225E2F04"/>
    <w:rsid w:val="226F2366"/>
    <w:rsid w:val="22713C16"/>
    <w:rsid w:val="227167CA"/>
    <w:rsid w:val="22727FD0"/>
    <w:rsid w:val="227318D4"/>
    <w:rsid w:val="227C5BC6"/>
    <w:rsid w:val="22805B8B"/>
    <w:rsid w:val="228135D1"/>
    <w:rsid w:val="2281465F"/>
    <w:rsid w:val="22A13519"/>
    <w:rsid w:val="22B23E9D"/>
    <w:rsid w:val="22C54E5E"/>
    <w:rsid w:val="22CD373A"/>
    <w:rsid w:val="22CD57C2"/>
    <w:rsid w:val="22CE6C8E"/>
    <w:rsid w:val="22D45893"/>
    <w:rsid w:val="22F94667"/>
    <w:rsid w:val="22FC1280"/>
    <w:rsid w:val="23001A71"/>
    <w:rsid w:val="23031EBE"/>
    <w:rsid w:val="23050ED0"/>
    <w:rsid w:val="23057C2E"/>
    <w:rsid w:val="230A06F1"/>
    <w:rsid w:val="230E2460"/>
    <w:rsid w:val="231405B8"/>
    <w:rsid w:val="231C0D19"/>
    <w:rsid w:val="23214E07"/>
    <w:rsid w:val="23297F71"/>
    <w:rsid w:val="2335341D"/>
    <w:rsid w:val="233B6DCC"/>
    <w:rsid w:val="233F2E83"/>
    <w:rsid w:val="233F3E4C"/>
    <w:rsid w:val="234B4184"/>
    <w:rsid w:val="234F6DA9"/>
    <w:rsid w:val="234F75EF"/>
    <w:rsid w:val="23506762"/>
    <w:rsid w:val="23557637"/>
    <w:rsid w:val="235E2F38"/>
    <w:rsid w:val="23666256"/>
    <w:rsid w:val="23691369"/>
    <w:rsid w:val="236E3562"/>
    <w:rsid w:val="23722CB0"/>
    <w:rsid w:val="238C2CA1"/>
    <w:rsid w:val="238F69CD"/>
    <w:rsid w:val="2397196E"/>
    <w:rsid w:val="23AC7988"/>
    <w:rsid w:val="23B2329F"/>
    <w:rsid w:val="23BD4ECA"/>
    <w:rsid w:val="23BF59F5"/>
    <w:rsid w:val="23C13227"/>
    <w:rsid w:val="23C23DC8"/>
    <w:rsid w:val="23C30FC1"/>
    <w:rsid w:val="23CE6D8D"/>
    <w:rsid w:val="23CE7EFA"/>
    <w:rsid w:val="23D876C6"/>
    <w:rsid w:val="23DB66E2"/>
    <w:rsid w:val="23DD1DFA"/>
    <w:rsid w:val="23EB5CB5"/>
    <w:rsid w:val="23F00831"/>
    <w:rsid w:val="23FF6960"/>
    <w:rsid w:val="24044AAD"/>
    <w:rsid w:val="24244378"/>
    <w:rsid w:val="2429376D"/>
    <w:rsid w:val="243B73AD"/>
    <w:rsid w:val="243B7B75"/>
    <w:rsid w:val="244C76D3"/>
    <w:rsid w:val="245A673B"/>
    <w:rsid w:val="245D7497"/>
    <w:rsid w:val="24601C34"/>
    <w:rsid w:val="2473264B"/>
    <w:rsid w:val="24915BAB"/>
    <w:rsid w:val="24992C3F"/>
    <w:rsid w:val="249E445B"/>
    <w:rsid w:val="249F57D9"/>
    <w:rsid w:val="24A14729"/>
    <w:rsid w:val="24CD4891"/>
    <w:rsid w:val="24CE18C8"/>
    <w:rsid w:val="24DA2E81"/>
    <w:rsid w:val="24DB7584"/>
    <w:rsid w:val="24DC690A"/>
    <w:rsid w:val="24DD6566"/>
    <w:rsid w:val="24DF68C8"/>
    <w:rsid w:val="24E70DDF"/>
    <w:rsid w:val="24F325E3"/>
    <w:rsid w:val="24FA4AD3"/>
    <w:rsid w:val="25005C72"/>
    <w:rsid w:val="25072CB6"/>
    <w:rsid w:val="250F3ABA"/>
    <w:rsid w:val="25150E4A"/>
    <w:rsid w:val="252E6196"/>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BB4DD0"/>
    <w:rsid w:val="25CE0B3E"/>
    <w:rsid w:val="25CF30BA"/>
    <w:rsid w:val="25D87AE6"/>
    <w:rsid w:val="25D918C9"/>
    <w:rsid w:val="25E71F78"/>
    <w:rsid w:val="25EA75FB"/>
    <w:rsid w:val="25F50794"/>
    <w:rsid w:val="26033C65"/>
    <w:rsid w:val="26081BF8"/>
    <w:rsid w:val="260C58C5"/>
    <w:rsid w:val="26103B59"/>
    <w:rsid w:val="26115353"/>
    <w:rsid w:val="26185C13"/>
    <w:rsid w:val="261F28E2"/>
    <w:rsid w:val="26264554"/>
    <w:rsid w:val="263235F5"/>
    <w:rsid w:val="26333A29"/>
    <w:rsid w:val="26351784"/>
    <w:rsid w:val="26427A28"/>
    <w:rsid w:val="26525ABF"/>
    <w:rsid w:val="26574E2B"/>
    <w:rsid w:val="265826A7"/>
    <w:rsid w:val="266E4005"/>
    <w:rsid w:val="267056BF"/>
    <w:rsid w:val="267E00AD"/>
    <w:rsid w:val="2682002D"/>
    <w:rsid w:val="268426E2"/>
    <w:rsid w:val="26871BB0"/>
    <w:rsid w:val="268D61F7"/>
    <w:rsid w:val="26915CA2"/>
    <w:rsid w:val="26AC5A8B"/>
    <w:rsid w:val="26BF485A"/>
    <w:rsid w:val="26DB0DF0"/>
    <w:rsid w:val="26E32255"/>
    <w:rsid w:val="26EA75CE"/>
    <w:rsid w:val="26EC6E10"/>
    <w:rsid w:val="26EF32CA"/>
    <w:rsid w:val="26F37CBE"/>
    <w:rsid w:val="26F954F1"/>
    <w:rsid w:val="27107BF5"/>
    <w:rsid w:val="271314C8"/>
    <w:rsid w:val="27326E8F"/>
    <w:rsid w:val="2735468D"/>
    <w:rsid w:val="274A6662"/>
    <w:rsid w:val="274F5B56"/>
    <w:rsid w:val="27570A55"/>
    <w:rsid w:val="275C2CB3"/>
    <w:rsid w:val="276A0443"/>
    <w:rsid w:val="276C1027"/>
    <w:rsid w:val="27746913"/>
    <w:rsid w:val="2775446F"/>
    <w:rsid w:val="278B2D28"/>
    <w:rsid w:val="27947308"/>
    <w:rsid w:val="2796033D"/>
    <w:rsid w:val="27A64AD5"/>
    <w:rsid w:val="27B60AFD"/>
    <w:rsid w:val="27B914E9"/>
    <w:rsid w:val="27C435E3"/>
    <w:rsid w:val="27CD2E52"/>
    <w:rsid w:val="27D368C0"/>
    <w:rsid w:val="27D47C66"/>
    <w:rsid w:val="27E951EF"/>
    <w:rsid w:val="27EF2A5E"/>
    <w:rsid w:val="27F22536"/>
    <w:rsid w:val="27F2325D"/>
    <w:rsid w:val="27F97D3B"/>
    <w:rsid w:val="28014AB4"/>
    <w:rsid w:val="28043BB2"/>
    <w:rsid w:val="28065FAE"/>
    <w:rsid w:val="280B5681"/>
    <w:rsid w:val="280D46CF"/>
    <w:rsid w:val="28246110"/>
    <w:rsid w:val="28285D3D"/>
    <w:rsid w:val="282865B0"/>
    <w:rsid w:val="28377CB6"/>
    <w:rsid w:val="2838116E"/>
    <w:rsid w:val="284566E9"/>
    <w:rsid w:val="285577BE"/>
    <w:rsid w:val="285C5977"/>
    <w:rsid w:val="28722B16"/>
    <w:rsid w:val="287954D2"/>
    <w:rsid w:val="287E15AA"/>
    <w:rsid w:val="288161CC"/>
    <w:rsid w:val="288D4F6F"/>
    <w:rsid w:val="289C0555"/>
    <w:rsid w:val="28AD4406"/>
    <w:rsid w:val="28BB2CA0"/>
    <w:rsid w:val="28BC2993"/>
    <w:rsid w:val="28BE5EE9"/>
    <w:rsid w:val="28C36B12"/>
    <w:rsid w:val="28C6288E"/>
    <w:rsid w:val="28CB7B04"/>
    <w:rsid w:val="28CC10A4"/>
    <w:rsid w:val="28D34355"/>
    <w:rsid w:val="28E2106E"/>
    <w:rsid w:val="28E95483"/>
    <w:rsid w:val="28EB4FE6"/>
    <w:rsid w:val="28EE4F7F"/>
    <w:rsid w:val="28F257BC"/>
    <w:rsid w:val="28F50C58"/>
    <w:rsid w:val="28F62E85"/>
    <w:rsid w:val="28FA532D"/>
    <w:rsid w:val="29060891"/>
    <w:rsid w:val="290A7357"/>
    <w:rsid w:val="290F1E6D"/>
    <w:rsid w:val="290F2E23"/>
    <w:rsid w:val="29116346"/>
    <w:rsid w:val="291B361A"/>
    <w:rsid w:val="2925011C"/>
    <w:rsid w:val="29291D27"/>
    <w:rsid w:val="29334E58"/>
    <w:rsid w:val="29342C80"/>
    <w:rsid w:val="294D1445"/>
    <w:rsid w:val="296D72E7"/>
    <w:rsid w:val="297C4F1B"/>
    <w:rsid w:val="29841FF1"/>
    <w:rsid w:val="29A4671F"/>
    <w:rsid w:val="29BD1A42"/>
    <w:rsid w:val="29C562CC"/>
    <w:rsid w:val="29C90D98"/>
    <w:rsid w:val="29CA1B90"/>
    <w:rsid w:val="29CF172B"/>
    <w:rsid w:val="29D95A71"/>
    <w:rsid w:val="29E522F6"/>
    <w:rsid w:val="29F50DAE"/>
    <w:rsid w:val="29F8715D"/>
    <w:rsid w:val="2A0857F5"/>
    <w:rsid w:val="2A0C1ECE"/>
    <w:rsid w:val="2A0D2B92"/>
    <w:rsid w:val="2A32766A"/>
    <w:rsid w:val="2A363620"/>
    <w:rsid w:val="2A3C5CED"/>
    <w:rsid w:val="2A4006A0"/>
    <w:rsid w:val="2A404777"/>
    <w:rsid w:val="2A4E7C1A"/>
    <w:rsid w:val="2A6162EF"/>
    <w:rsid w:val="2A664904"/>
    <w:rsid w:val="2A6A2435"/>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BF6105"/>
    <w:rsid w:val="2ACD378C"/>
    <w:rsid w:val="2AD56F26"/>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69734E"/>
    <w:rsid w:val="2B707986"/>
    <w:rsid w:val="2B731A25"/>
    <w:rsid w:val="2B8A5BE5"/>
    <w:rsid w:val="2B8B12B1"/>
    <w:rsid w:val="2B930EF1"/>
    <w:rsid w:val="2BA323A5"/>
    <w:rsid w:val="2BA40613"/>
    <w:rsid w:val="2BA568A1"/>
    <w:rsid w:val="2BA86189"/>
    <w:rsid w:val="2BAE643A"/>
    <w:rsid w:val="2BAE7AC1"/>
    <w:rsid w:val="2BB6470A"/>
    <w:rsid w:val="2BBF1E23"/>
    <w:rsid w:val="2BDB5364"/>
    <w:rsid w:val="2BE77CC4"/>
    <w:rsid w:val="2BEF171D"/>
    <w:rsid w:val="2BF517E6"/>
    <w:rsid w:val="2BFE1E7E"/>
    <w:rsid w:val="2BFF34F5"/>
    <w:rsid w:val="2C013F39"/>
    <w:rsid w:val="2C232156"/>
    <w:rsid w:val="2C253560"/>
    <w:rsid w:val="2C295909"/>
    <w:rsid w:val="2C334998"/>
    <w:rsid w:val="2C345880"/>
    <w:rsid w:val="2C35122A"/>
    <w:rsid w:val="2C364299"/>
    <w:rsid w:val="2C397EBD"/>
    <w:rsid w:val="2C3D32C5"/>
    <w:rsid w:val="2C486C9F"/>
    <w:rsid w:val="2C4C6B9C"/>
    <w:rsid w:val="2C4D17B8"/>
    <w:rsid w:val="2C5437C3"/>
    <w:rsid w:val="2C594D81"/>
    <w:rsid w:val="2C5C42D2"/>
    <w:rsid w:val="2C620297"/>
    <w:rsid w:val="2C6E5DD6"/>
    <w:rsid w:val="2C73035A"/>
    <w:rsid w:val="2C7E4A99"/>
    <w:rsid w:val="2C7E5F6C"/>
    <w:rsid w:val="2C831780"/>
    <w:rsid w:val="2C851F32"/>
    <w:rsid w:val="2C877559"/>
    <w:rsid w:val="2C9121B3"/>
    <w:rsid w:val="2C9C7397"/>
    <w:rsid w:val="2CA02C0D"/>
    <w:rsid w:val="2CA62C22"/>
    <w:rsid w:val="2CB141FE"/>
    <w:rsid w:val="2CB93C6B"/>
    <w:rsid w:val="2CBA29AB"/>
    <w:rsid w:val="2CBE4E27"/>
    <w:rsid w:val="2CBF217F"/>
    <w:rsid w:val="2CC27F39"/>
    <w:rsid w:val="2CC35504"/>
    <w:rsid w:val="2CDD2949"/>
    <w:rsid w:val="2CE04B66"/>
    <w:rsid w:val="2CEB511E"/>
    <w:rsid w:val="2CFA67BB"/>
    <w:rsid w:val="2D0519BA"/>
    <w:rsid w:val="2D116AA8"/>
    <w:rsid w:val="2D184915"/>
    <w:rsid w:val="2D1A67EC"/>
    <w:rsid w:val="2D1D3495"/>
    <w:rsid w:val="2D2102D7"/>
    <w:rsid w:val="2D242913"/>
    <w:rsid w:val="2D290954"/>
    <w:rsid w:val="2D2A668F"/>
    <w:rsid w:val="2D2B21F4"/>
    <w:rsid w:val="2D381B6C"/>
    <w:rsid w:val="2D3A36E0"/>
    <w:rsid w:val="2D3D59F8"/>
    <w:rsid w:val="2D411DE4"/>
    <w:rsid w:val="2D4D14E6"/>
    <w:rsid w:val="2D4E4D0B"/>
    <w:rsid w:val="2D5145BB"/>
    <w:rsid w:val="2D690B40"/>
    <w:rsid w:val="2D701F83"/>
    <w:rsid w:val="2D704E99"/>
    <w:rsid w:val="2D7322FD"/>
    <w:rsid w:val="2D7406B9"/>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34216"/>
    <w:rsid w:val="2E1D58DE"/>
    <w:rsid w:val="2E3931A6"/>
    <w:rsid w:val="2E4D43C9"/>
    <w:rsid w:val="2E5258E3"/>
    <w:rsid w:val="2E5513C9"/>
    <w:rsid w:val="2E575F25"/>
    <w:rsid w:val="2E581950"/>
    <w:rsid w:val="2E5865F6"/>
    <w:rsid w:val="2E664B44"/>
    <w:rsid w:val="2E6700E1"/>
    <w:rsid w:val="2E6E3AC1"/>
    <w:rsid w:val="2E806A22"/>
    <w:rsid w:val="2E8A3096"/>
    <w:rsid w:val="2E8C2695"/>
    <w:rsid w:val="2EA45ECC"/>
    <w:rsid w:val="2EA95F50"/>
    <w:rsid w:val="2EA961CA"/>
    <w:rsid w:val="2EAB2D38"/>
    <w:rsid w:val="2EAC7A25"/>
    <w:rsid w:val="2EB11C1F"/>
    <w:rsid w:val="2EC03BC9"/>
    <w:rsid w:val="2EDF3CED"/>
    <w:rsid w:val="2EF9378F"/>
    <w:rsid w:val="2F102D49"/>
    <w:rsid w:val="2F1544E7"/>
    <w:rsid w:val="2F223112"/>
    <w:rsid w:val="2F2832E3"/>
    <w:rsid w:val="2F2A028B"/>
    <w:rsid w:val="2F2E4CD3"/>
    <w:rsid w:val="2F302E1B"/>
    <w:rsid w:val="2F364EA9"/>
    <w:rsid w:val="2F3C1119"/>
    <w:rsid w:val="2F3F322C"/>
    <w:rsid w:val="2F4361BA"/>
    <w:rsid w:val="2F4773C1"/>
    <w:rsid w:val="2F570BF8"/>
    <w:rsid w:val="2F644678"/>
    <w:rsid w:val="2F645E81"/>
    <w:rsid w:val="2F6A3BE3"/>
    <w:rsid w:val="2F7D414C"/>
    <w:rsid w:val="2F820752"/>
    <w:rsid w:val="2F8412FC"/>
    <w:rsid w:val="2F843CF0"/>
    <w:rsid w:val="2F8612D3"/>
    <w:rsid w:val="2F8E5104"/>
    <w:rsid w:val="2F933877"/>
    <w:rsid w:val="2FA557A7"/>
    <w:rsid w:val="2FA757CA"/>
    <w:rsid w:val="2FA75A93"/>
    <w:rsid w:val="2FB92BB6"/>
    <w:rsid w:val="2FBD3859"/>
    <w:rsid w:val="2FCC6278"/>
    <w:rsid w:val="2FE73242"/>
    <w:rsid w:val="2FEB512F"/>
    <w:rsid w:val="2FF06294"/>
    <w:rsid w:val="2FF13DD5"/>
    <w:rsid w:val="2FF66C8B"/>
    <w:rsid w:val="2FF9135A"/>
    <w:rsid w:val="2FFA75A7"/>
    <w:rsid w:val="30121DB6"/>
    <w:rsid w:val="30184271"/>
    <w:rsid w:val="30194267"/>
    <w:rsid w:val="30265DB3"/>
    <w:rsid w:val="303D2A1B"/>
    <w:rsid w:val="30423C79"/>
    <w:rsid w:val="30611949"/>
    <w:rsid w:val="306205C4"/>
    <w:rsid w:val="30657AE9"/>
    <w:rsid w:val="30856D7B"/>
    <w:rsid w:val="308A183B"/>
    <w:rsid w:val="308E5FDF"/>
    <w:rsid w:val="30926D0D"/>
    <w:rsid w:val="309C6DDB"/>
    <w:rsid w:val="309C7D5E"/>
    <w:rsid w:val="30AF17DF"/>
    <w:rsid w:val="30B31F9C"/>
    <w:rsid w:val="30B456E9"/>
    <w:rsid w:val="30B5287E"/>
    <w:rsid w:val="30BC215E"/>
    <w:rsid w:val="30BE0B68"/>
    <w:rsid w:val="30CF0608"/>
    <w:rsid w:val="30E83CD5"/>
    <w:rsid w:val="30F25E93"/>
    <w:rsid w:val="30F578C5"/>
    <w:rsid w:val="30F86718"/>
    <w:rsid w:val="310B0B9D"/>
    <w:rsid w:val="31165C0D"/>
    <w:rsid w:val="31182199"/>
    <w:rsid w:val="312B39F6"/>
    <w:rsid w:val="31302D16"/>
    <w:rsid w:val="31392A46"/>
    <w:rsid w:val="313A0546"/>
    <w:rsid w:val="31470314"/>
    <w:rsid w:val="316244B7"/>
    <w:rsid w:val="316325FF"/>
    <w:rsid w:val="316F1595"/>
    <w:rsid w:val="316F541D"/>
    <w:rsid w:val="31854918"/>
    <w:rsid w:val="31926147"/>
    <w:rsid w:val="31963578"/>
    <w:rsid w:val="31A32722"/>
    <w:rsid w:val="31A91D45"/>
    <w:rsid w:val="31AC7DF1"/>
    <w:rsid w:val="31AE5339"/>
    <w:rsid w:val="31BA0E10"/>
    <w:rsid w:val="31BB2CDB"/>
    <w:rsid w:val="31CF2C3A"/>
    <w:rsid w:val="31D063CB"/>
    <w:rsid w:val="31D601A4"/>
    <w:rsid w:val="31D67B17"/>
    <w:rsid w:val="31D811C4"/>
    <w:rsid w:val="31D918C1"/>
    <w:rsid w:val="31DF7D59"/>
    <w:rsid w:val="31E352CF"/>
    <w:rsid w:val="31EC4AB1"/>
    <w:rsid w:val="31EC57C4"/>
    <w:rsid w:val="320B3803"/>
    <w:rsid w:val="320E75A5"/>
    <w:rsid w:val="32186538"/>
    <w:rsid w:val="321A3422"/>
    <w:rsid w:val="321C663A"/>
    <w:rsid w:val="3221030E"/>
    <w:rsid w:val="32301C76"/>
    <w:rsid w:val="32384218"/>
    <w:rsid w:val="323F33B0"/>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81B89"/>
    <w:rsid w:val="32CC40A3"/>
    <w:rsid w:val="32CD393F"/>
    <w:rsid w:val="32CF3752"/>
    <w:rsid w:val="32DD7534"/>
    <w:rsid w:val="32F565EE"/>
    <w:rsid w:val="32F64C2C"/>
    <w:rsid w:val="32F714CC"/>
    <w:rsid w:val="33030931"/>
    <w:rsid w:val="33313D66"/>
    <w:rsid w:val="33352864"/>
    <w:rsid w:val="33397206"/>
    <w:rsid w:val="33451D77"/>
    <w:rsid w:val="33516568"/>
    <w:rsid w:val="33530865"/>
    <w:rsid w:val="33547F1F"/>
    <w:rsid w:val="33680FFD"/>
    <w:rsid w:val="336A06E1"/>
    <w:rsid w:val="337169E0"/>
    <w:rsid w:val="33796778"/>
    <w:rsid w:val="337F01D0"/>
    <w:rsid w:val="3397431E"/>
    <w:rsid w:val="33AD0C9D"/>
    <w:rsid w:val="33B36539"/>
    <w:rsid w:val="33B51780"/>
    <w:rsid w:val="33B61563"/>
    <w:rsid w:val="33BA6254"/>
    <w:rsid w:val="33C35F95"/>
    <w:rsid w:val="33CC7710"/>
    <w:rsid w:val="33D271EB"/>
    <w:rsid w:val="33E71937"/>
    <w:rsid w:val="33EC68D6"/>
    <w:rsid w:val="33F4710E"/>
    <w:rsid w:val="33F921D2"/>
    <w:rsid w:val="33FC6D82"/>
    <w:rsid w:val="33FE650E"/>
    <w:rsid w:val="34070CF8"/>
    <w:rsid w:val="34075BDC"/>
    <w:rsid w:val="340925AB"/>
    <w:rsid w:val="340F12D7"/>
    <w:rsid w:val="341E6F75"/>
    <w:rsid w:val="341E76A7"/>
    <w:rsid w:val="342245A0"/>
    <w:rsid w:val="34230C47"/>
    <w:rsid w:val="34243808"/>
    <w:rsid w:val="34283065"/>
    <w:rsid w:val="343B5BC5"/>
    <w:rsid w:val="3441049C"/>
    <w:rsid w:val="34470C06"/>
    <w:rsid w:val="345D1DC0"/>
    <w:rsid w:val="345E2E34"/>
    <w:rsid w:val="34607AAC"/>
    <w:rsid w:val="346856A8"/>
    <w:rsid w:val="34694474"/>
    <w:rsid w:val="346B074E"/>
    <w:rsid w:val="34700B52"/>
    <w:rsid w:val="347C5431"/>
    <w:rsid w:val="347E76AC"/>
    <w:rsid w:val="34802039"/>
    <w:rsid w:val="34964B3F"/>
    <w:rsid w:val="349D3745"/>
    <w:rsid w:val="34B058ED"/>
    <w:rsid w:val="34B2035B"/>
    <w:rsid w:val="34B52514"/>
    <w:rsid w:val="34BE7BE9"/>
    <w:rsid w:val="34C15526"/>
    <w:rsid w:val="34C861DE"/>
    <w:rsid w:val="34E06A6B"/>
    <w:rsid w:val="34E56A3A"/>
    <w:rsid w:val="34EA0F65"/>
    <w:rsid w:val="34F2011B"/>
    <w:rsid w:val="34F73B82"/>
    <w:rsid w:val="35027E6B"/>
    <w:rsid w:val="350826B6"/>
    <w:rsid w:val="35151E73"/>
    <w:rsid w:val="351B5AFA"/>
    <w:rsid w:val="351D7160"/>
    <w:rsid w:val="351E408A"/>
    <w:rsid w:val="35282477"/>
    <w:rsid w:val="35436A96"/>
    <w:rsid w:val="3544100D"/>
    <w:rsid w:val="355015DA"/>
    <w:rsid w:val="35560A7E"/>
    <w:rsid w:val="35623A85"/>
    <w:rsid w:val="35666732"/>
    <w:rsid w:val="35683ADC"/>
    <w:rsid w:val="356A5601"/>
    <w:rsid w:val="3578598D"/>
    <w:rsid w:val="35811763"/>
    <w:rsid w:val="358210F2"/>
    <w:rsid w:val="358A3815"/>
    <w:rsid w:val="358B13EB"/>
    <w:rsid w:val="359962FA"/>
    <w:rsid w:val="359F16E4"/>
    <w:rsid w:val="35A070D0"/>
    <w:rsid w:val="35A62EC1"/>
    <w:rsid w:val="35C606F5"/>
    <w:rsid w:val="35CB6289"/>
    <w:rsid w:val="35CE28FE"/>
    <w:rsid w:val="35D02FEC"/>
    <w:rsid w:val="35D63ACC"/>
    <w:rsid w:val="35E43BBA"/>
    <w:rsid w:val="35E621A2"/>
    <w:rsid w:val="35ED18D3"/>
    <w:rsid w:val="35FA78A7"/>
    <w:rsid w:val="35FD2EFD"/>
    <w:rsid w:val="35FF6231"/>
    <w:rsid w:val="3606138A"/>
    <w:rsid w:val="360A1772"/>
    <w:rsid w:val="362929EA"/>
    <w:rsid w:val="36385E77"/>
    <w:rsid w:val="36513994"/>
    <w:rsid w:val="365341EB"/>
    <w:rsid w:val="365428F8"/>
    <w:rsid w:val="365430D0"/>
    <w:rsid w:val="365D088C"/>
    <w:rsid w:val="3663131A"/>
    <w:rsid w:val="36645D85"/>
    <w:rsid w:val="366B0451"/>
    <w:rsid w:val="367935A4"/>
    <w:rsid w:val="3683705A"/>
    <w:rsid w:val="369251EB"/>
    <w:rsid w:val="36932AC4"/>
    <w:rsid w:val="36A20AB9"/>
    <w:rsid w:val="36B82C0A"/>
    <w:rsid w:val="36BC1010"/>
    <w:rsid w:val="36CD1928"/>
    <w:rsid w:val="36D05FA3"/>
    <w:rsid w:val="36DD19D5"/>
    <w:rsid w:val="36DF0DCF"/>
    <w:rsid w:val="36E11B44"/>
    <w:rsid w:val="36E71C00"/>
    <w:rsid w:val="36E86D31"/>
    <w:rsid w:val="37206A20"/>
    <w:rsid w:val="372C5FF1"/>
    <w:rsid w:val="372D0DBF"/>
    <w:rsid w:val="372F1B40"/>
    <w:rsid w:val="372F3FF9"/>
    <w:rsid w:val="373129EF"/>
    <w:rsid w:val="373A3D76"/>
    <w:rsid w:val="374B3050"/>
    <w:rsid w:val="3754377B"/>
    <w:rsid w:val="375547C4"/>
    <w:rsid w:val="376755B7"/>
    <w:rsid w:val="376D73D3"/>
    <w:rsid w:val="37793A94"/>
    <w:rsid w:val="377E113A"/>
    <w:rsid w:val="37873DC6"/>
    <w:rsid w:val="3789622C"/>
    <w:rsid w:val="378C5DE8"/>
    <w:rsid w:val="379A365A"/>
    <w:rsid w:val="37A81832"/>
    <w:rsid w:val="37B3284E"/>
    <w:rsid w:val="37B754DD"/>
    <w:rsid w:val="37B93020"/>
    <w:rsid w:val="37C75A14"/>
    <w:rsid w:val="37D51DFC"/>
    <w:rsid w:val="37D778D3"/>
    <w:rsid w:val="37EE40C5"/>
    <w:rsid w:val="37FD7147"/>
    <w:rsid w:val="380F45AD"/>
    <w:rsid w:val="38365636"/>
    <w:rsid w:val="3842298F"/>
    <w:rsid w:val="384934A4"/>
    <w:rsid w:val="38562637"/>
    <w:rsid w:val="3858063B"/>
    <w:rsid w:val="3859237D"/>
    <w:rsid w:val="385D34C1"/>
    <w:rsid w:val="38630B60"/>
    <w:rsid w:val="386B0ED9"/>
    <w:rsid w:val="387409B9"/>
    <w:rsid w:val="387D29BE"/>
    <w:rsid w:val="38837E13"/>
    <w:rsid w:val="38862BA8"/>
    <w:rsid w:val="388C5F8D"/>
    <w:rsid w:val="388F20A3"/>
    <w:rsid w:val="38945C70"/>
    <w:rsid w:val="38A03F4F"/>
    <w:rsid w:val="38A05A0D"/>
    <w:rsid w:val="38A968C8"/>
    <w:rsid w:val="38AB19DA"/>
    <w:rsid w:val="38B96453"/>
    <w:rsid w:val="38C37207"/>
    <w:rsid w:val="38D27E22"/>
    <w:rsid w:val="38E0641D"/>
    <w:rsid w:val="38F05821"/>
    <w:rsid w:val="38F65986"/>
    <w:rsid w:val="39037914"/>
    <w:rsid w:val="390A3D17"/>
    <w:rsid w:val="39197EF7"/>
    <w:rsid w:val="39267A2B"/>
    <w:rsid w:val="393B6A45"/>
    <w:rsid w:val="3957061E"/>
    <w:rsid w:val="396A5805"/>
    <w:rsid w:val="397D09C0"/>
    <w:rsid w:val="39882EE2"/>
    <w:rsid w:val="39884C68"/>
    <w:rsid w:val="39893762"/>
    <w:rsid w:val="39913779"/>
    <w:rsid w:val="399476E9"/>
    <w:rsid w:val="39A10F07"/>
    <w:rsid w:val="39A60306"/>
    <w:rsid w:val="39AA29DA"/>
    <w:rsid w:val="39B50F31"/>
    <w:rsid w:val="39BB1AF2"/>
    <w:rsid w:val="39C84667"/>
    <w:rsid w:val="39CA73AF"/>
    <w:rsid w:val="39E530A4"/>
    <w:rsid w:val="39FF6602"/>
    <w:rsid w:val="3A033721"/>
    <w:rsid w:val="3A047EE6"/>
    <w:rsid w:val="3A0731EC"/>
    <w:rsid w:val="3A15267E"/>
    <w:rsid w:val="3A18263D"/>
    <w:rsid w:val="3A2549CE"/>
    <w:rsid w:val="3A2F5A82"/>
    <w:rsid w:val="3A323E9A"/>
    <w:rsid w:val="3A3A7E9A"/>
    <w:rsid w:val="3A3E0FBF"/>
    <w:rsid w:val="3A3F3E43"/>
    <w:rsid w:val="3A4379E7"/>
    <w:rsid w:val="3A603919"/>
    <w:rsid w:val="3A615F7B"/>
    <w:rsid w:val="3A650A0E"/>
    <w:rsid w:val="3A6662AD"/>
    <w:rsid w:val="3A6C210B"/>
    <w:rsid w:val="3A706B18"/>
    <w:rsid w:val="3A731164"/>
    <w:rsid w:val="3A7F3816"/>
    <w:rsid w:val="3A8075B8"/>
    <w:rsid w:val="3A845910"/>
    <w:rsid w:val="3A8D5643"/>
    <w:rsid w:val="3A986C86"/>
    <w:rsid w:val="3AB445DA"/>
    <w:rsid w:val="3AC0267E"/>
    <w:rsid w:val="3AC40869"/>
    <w:rsid w:val="3AE93A93"/>
    <w:rsid w:val="3AEB4331"/>
    <w:rsid w:val="3AED1B9E"/>
    <w:rsid w:val="3AEE64DE"/>
    <w:rsid w:val="3AF2134C"/>
    <w:rsid w:val="3AFD3D21"/>
    <w:rsid w:val="3B06715E"/>
    <w:rsid w:val="3B0F1B0C"/>
    <w:rsid w:val="3B16341F"/>
    <w:rsid w:val="3B247D05"/>
    <w:rsid w:val="3B2D7969"/>
    <w:rsid w:val="3B326097"/>
    <w:rsid w:val="3B587FC0"/>
    <w:rsid w:val="3B5A5094"/>
    <w:rsid w:val="3B5C5E4F"/>
    <w:rsid w:val="3B666E9A"/>
    <w:rsid w:val="3B686802"/>
    <w:rsid w:val="3B8A05C9"/>
    <w:rsid w:val="3B8B65A4"/>
    <w:rsid w:val="3B94771D"/>
    <w:rsid w:val="3B98088C"/>
    <w:rsid w:val="3B9C51AC"/>
    <w:rsid w:val="3B9C581B"/>
    <w:rsid w:val="3BA86F0F"/>
    <w:rsid w:val="3BB26CEE"/>
    <w:rsid w:val="3BBE4E43"/>
    <w:rsid w:val="3BDE71BE"/>
    <w:rsid w:val="3C0829E0"/>
    <w:rsid w:val="3C0B32C7"/>
    <w:rsid w:val="3C0B7D3C"/>
    <w:rsid w:val="3C144C5E"/>
    <w:rsid w:val="3C145C57"/>
    <w:rsid w:val="3C217DAA"/>
    <w:rsid w:val="3C2B5922"/>
    <w:rsid w:val="3C302B64"/>
    <w:rsid w:val="3C351CCD"/>
    <w:rsid w:val="3C3A322C"/>
    <w:rsid w:val="3C3B72F7"/>
    <w:rsid w:val="3C3D0C58"/>
    <w:rsid w:val="3C4D5202"/>
    <w:rsid w:val="3C536F45"/>
    <w:rsid w:val="3C5D698E"/>
    <w:rsid w:val="3C6A79D5"/>
    <w:rsid w:val="3C6C32E1"/>
    <w:rsid w:val="3C7617CA"/>
    <w:rsid w:val="3C7875A0"/>
    <w:rsid w:val="3C853C98"/>
    <w:rsid w:val="3C881DE6"/>
    <w:rsid w:val="3C924846"/>
    <w:rsid w:val="3C9A3ED3"/>
    <w:rsid w:val="3C9D0189"/>
    <w:rsid w:val="3CBB3335"/>
    <w:rsid w:val="3CC21E8B"/>
    <w:rsid w:val="3CC258D5"/>
    <w:rsid w:val="3CC67245"/>
    <w:rsid w:val="3CD30C12"/>
    <w:rsid w:val="3CDC1F42"/>
    <w:rsid w:val="3CF11106"/>
    <w:rsid w:val="3CF1460B"/>
    <w:rsid w:val="3CFE7137"/>
    <w:rsid w:val="3CFF5FCC"/>
    <w:rsid w:val="3D0B400E"/>
    <w:rsid w:val="3D1A706D"/>
    <w:rsid w:val="3D1E69C8"/>
    <w:rsid w:val="3D216871"/>
    <w:rsid w:val="3D244471"/>
    <w:rsid w:val="3D272B68"/>
    <w:rsid w:val="3D4C08A0"/>
    <w:rsid w:val="3D4D4F31"/>
    <w:rsid w:val="3D5305FD"/>
    <w:rsid w:val="3D5B4F5D"/>
    <w:rsid w:val="3D5F34BD"/>
    <w:rsid w:val="3D752505"/>
    <w:rsid w:val="3D7A5575"/>
    <w:rsid w:val="3D7D0F46"/>
    <w:rsid w:val="3D8370EF"/>
    <w:rsid w:val="3D87456C"/>
    <w:rsid w:val="3D8F2764"/>
    <w:rsid w:val="3D916D86"/>
    <w:rsid w:val="3D9210C1"/>
    <w:rsid w:val="3D9901D9"/>
    <w:rsid w:val="3D9A6A88"/>
    <w:rsid w:val="3D9C583A"/>
    <w:rsid w:val="3D9C69B9"/>
    <w:rsid w:val="3D9E378A"/>
    <w:rsid w:val="3D9E3AF8"/>
    <w:rsid w:val="3DA1312A"/>
    <w:rsid w:val="3DA70435"/>
    <w:rsid w:val="3DB66C9C"/>
    <w:rsid w:val="3DB740CD"/>
    <w:rsid w:val="3DC60812"/>
    <w:rsid w:val="3DCF4766"/>
    <w:rsid w:val="3DD03022"/>
    <w:rsid w:val="3DD77B1C"/>
    <w:rsid w:val="3DD90DBF"/>
    <w:rsid w:val="3DE5229E"/>
    <w:rsid w:val="3DE64E57"/>
    <w:rsid w:val="3DEB027D"/>
    <w:rsid w:val="3DEE408D"/>
    <w:rsid w:val="3DF766F4"/>
    <w:rsid w:val="3E041EEC"/>
    <w:rsid w:val="3E051F58"/>
    <w:rsid w:val="3E066FA9"/>
    <w:rsid w:val="3E0E265E"/>
    <w:rsid w:val="3E151359"/>
    <w:rsid w:val="3E151F4C"/>
    <w:rsid w:val="3E1A0979"/>
    <w:rsid w:val="3E2C49F5"/>
    <w:rsid w:val="3E3300CE"/>
    <w:rsid w:val="3E552FB8"/>
    <w:rsid w:val="3E5A0513"/>
    <w:rsid w:val="3E5A3026"/>
    <w:rsid w:val="3E5D3CBD"/>
    <w:rsid w:val="3E5F2768"/>
    <w:rsid w:val="3E657539"/>
    <w:rsid w:val="3E6D35C9"/>
    <w:rsid w:val="3E6D5A5C"/>
    <w:rsid w:val="3E6F53B6"/>
    <w:rsid w:val="3E727C2D"/>
    <w:rsid w:val="3E833861"/>
    <w:rsid w:val="3E880CDE"/>
    <w:rsid w:val="3E9902BD"/>
    <w:rsid w:val="3EAB68CC"/>
    <w:rsid w:val="3EB45BDF"/>
    <w:rsid w:val="3EB905A7"/>
    <w:rsid w:val="3EC075F2"/>
    <w:rsid w:val="3EC07E82"/>
    <w:rsid w:val="3EC12274"/>
    <w:rsid w:val="3EC61005"/>
    <w:rsid w:val="3EC64136"/>
    <w:rsid w:val="3EC83A22"/>
    <w:rsid w:val="3ED037EE"/>
    <w:rsid w:val="3EDB68B0"/>
    <w:rsid w:val="3EE16478"/>
    <w:rsid w:val="3EF2130E"/>
    <w:rsid w:val="3EF57038"/>
    <w:rsid w:val="3F0E4AA7"/>
    <w:rsid w:val="3F1744A9"/>
    <w:rsid w:val="3F193BE6"/>
    <w:rsid w:val="3F1D1FCC"/>
    <w:rsid w:val="3F23345D"/>
    <w:rsid w:val="3F322E39"/>
    <w:rsid w:val="3F3365BB"/>
    <w:rsid w:val="3F3A2418"/>
    <w:rsid w:val="3F3C5409"/>
    <w:rsid w:val="3F3C59F7"/>
    <w:rsid w:val="3F426AC3"/>
    <w:rsid w:val="3F444F2D"/>
    <w:rsid w:val="3F4D3AF7"/>
    <w:rsid w:val="3F547D51"/>
    <w:rsid w:val="3F68666F"/>
    <w:rsid w:val="3F722647"/>
    <w:rsid w:val="3F7A2C0E"/>
    <w:rsid w:val="3F8506AB"/>
    <w:rsid w:val="3F8B55F6"/>
    <w:rsid w:val="3F8E25FD"/>
    <w:rsid w:val="3F981A4B"/>
    <w:rsid w:val="3F9B4421"/>
    <w:rsid w:val="3FAA033F"/>
    <w:rsid w:val="3FB771CD"/>
    <w:rsid w:val="3FBA408C"/>
    <w:rsid w:val="3FBB5DCF"/>
    <w:rsid w:val="3FC454C6"/>
    <w:rsid w:val="3FC657A0"/>
    <w:rsid w:val="3FD23F9C"/>
    <w:rsid w:val="3FE31D82"/>
    <w:rsid w:val="3FE55810"/>
    <w:rsid w:val="3FEE7226"/>
    <w:rsid w:val="3FF51EA8"/>
    <w:rsid w:val="3FF60A01"/>
    <w:rsid w:val="40025AB1"/>
    <w:rsid w:val="40123B43"/>
    <w:rsid w:val="40151C80"/>
    <w:rsid w:val="401A4816"/>
    <w:rsid w:val="401E4C95"/>
    <w:rsid w:val="402C2E6A"/>
    <w:rsid w:val="404224B6"/>
    <w:rsid w:val="40432906"/>
    <w:rsid w:val="40433886"/>
    <w:rsid w:val="404A764E"/>
    <w:rsid w:val="40516742"/>
    <w:rsid w:val="40560E7E"/>
    <w:rsid w:val="405B60B6"/>
    <w:rsid w:val="40633FD6"/>
    <w:rsid w:val="406903C7"/>
    <w:rsid w:val="406930A8"/>
    <w:rsid w:val="406F59D7"/>
    <w:rsid w:val="40786C8E"/>
    <w:rsid w:val="40805B94"/>
    <w:rsid w:val="40830B74"/>
    <w:rsid w:val="40A13B43"/>
    <w:rsid w:val="40AA54F1"/>
    <w:rsid w:val="40C15F1A"/>
    <w:rsid w:val="40CC1C7A"/>
    <w:rsid w:val="40DA6699"/>
    <w:rsid w:val="40E81F30"/>
    <w:rsid w:val="4107385B"/>
    <w:rsid w:val="4113642B"/>
    <w:rsid w:val="41151751"/>
    <w:rsid w:val="411B7073"/>
    <w:rsid w:val="411D5581"/>
    <w:rsid w:val="411F13DA"/>
    <w:rsid w:val="41225E28"/>
    <w:rsid w:val="413635BD"/>
    <w:rsid w:val="413E7731"/>
    <w:rsid w:val="4146059B"/>
    <w:rsid w:val="415B01B8"/>
    <w:rsid w:val="415D31E9"/>
    <w:rsid w:val="41681D4E"/>
    <w:rsid w:val="41736BDB"/>
    <w:rsid w:val="417525E2"/>
    <w:rsid w:val="417849DE"/>
    <w:rsid w:val="417F3AA5"/>
    <w:rsid w:val="418F3709"/>
    <w:rsid w:val="419E41FD"/>
    <w:rsid w:val="41A6561A"/>
    <w:rsid w:val="41AD068C"/>
    <w:rsid w:val="41BC51E7"/>
    <w:rsid w:val="41C1720A"/>
    <w:rsid w:val="41C807B8"/>
    <w:rsid w:val="41D35005"/>
    <w:rsid w:val="41DA7F1B"/>
    <w:rsid w:val="41DF6F10"/>
    <w:rsid w:val="41E310E9"/>
    <w:rsid w:val="41E50D36"/>
    <w:rsid w:val="41E52042"/>
    <w:rsid w:val="41EC244C"/>
    <w:rsid w:val="42115916"/>
    <w:rsid w:val="4222777A"/>
    <w:rsid w:val="422546BA"/>
    <w:rsid w:val="424F7E66"/>
    <w:rsid w:val="4276313F"/>
    <w:rsid w:val="4279133E"/>
    <w:rsid w:val="427B56B5"/>
    <w:rsid w:val="428B0D38"/>
    <w:rsid w:val="429F4867"/>
    <w:rsid w:val="42A31ABC"/>
    <w:rsid w:val="42B876D7"/>
    <w:rsid w:val="42C12743"/>
    <w:rsid w:val="42C37F87"/>
    <w:rsid w:val="42C41CFF"/>
    <w:rsid w:val="42CA4FD1"/>
    <w:rsid w:val="42DC7FA5"/>
    <w:rsid w:val="42DE73EB"/>
    <w:rsid w:val="42EA5D21"/>
    <w:rsid w:val="42F55E0F"/>
    <w:rsid w:val="42F8391A"/>
    <w:rsid w:val="42FF0CD4"/>
    <w:rsid w:val="43002024"/>
    <w:rsid w:val="43041422"/>
    <w:rsid w:val="430B71E6"/>
    <w:rsid w:val="430C54B0"/>
    <w:rsid w:val="4313140F"/>
    <w:rsid w:val="43367E93"/>
    <w:rsid w:val="4337362E"/>
    <w:rsid w:val="43377A41"/>
    <w:rsid w:val="433C0AD9"/>
    <w:rsid w:val="4356545E"/>
    <w:rsid w:val="43585BC5"/>
    <w:rsid w:val="435C2DD4"/>
    <w:rsid w:val="43606EE8"/>
    <w:rsid w:val="436D6C7E"/>
    <w:rsid w:val="436E37AC"/>
    <w:rsid w:val="43825E8E"/>
    <w:rsid w:val="438C60C3"/>
    <w:rsid w:val="439E382C"/>
    <w:rsid w:val="43A81DD2"/>
    <w:rsid w:val="43AE0E50"/>
    <w:rsid w:val="43B67D40"/>
    <w:rsid w:val="43C90ABC"/>
    <w:rsid w:val="43D60F59"/>
    <w:rsid w:val="43D6358D"/>
    <w:rsid w:val="43E61AF4"/>
    <w:rsid w:val="43EA6FF8"/>
    <w:rsid w:val="43FA1F0F"/>
    <w:rsid w:val="440313A1"/>
    <w:rsid w:val="44083C52"/>
    <w:rsid w:val="440B5E9D"/>
    <w:rsid w:val="44154F1C"/>
    <w:rsid w:val="44160887"/>
    <w:rsid w:val="44174F89"/>
    <w:rsid w:val="441B1DA2"/>
    <w:rsid w:val="441C02A4"/>
    <w:rsid w:val="44272572"/>
    <w:rsid w:val="44290F04"/>
    <w:rsid w:val="44387B6B"/>
    <w:rsid w:val="44396033"/>
    <w:rsid w:val="444168F4"/>
    <w:rsid w:val="4445371E"/>
    <w:rsid w:val="444F4CC5"/>
    <w:rsid w:val="446027FE"/>
    <w:rsid w:val="44723E90"/>
    <w:rsid w:val="44867FBD"/>
    <w:rsid w:val="448F118F"/>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C6B42"/>
    <w:rsid w:val="4526084D"/>
    <w:rsid w:val="452B1D39"/>
    <w:rsid w:val="45400BC0"/>
    <w:rsid w:val="45514041"/>
    <w:rsid w:val="45516C11"/>
    <w:rsid w:val="455C4C80"/>
    <w:rsid w:val="455D4229"/>
    <w:rsid w:val="45617F43"/>
    <w:rsid w:val="45675C27"/>
    <w:rsid w:val="4572498F"/>
    <w:rsid w:val="458469DB"/>
    <w:rsid w:val="45863114"/>
    <w:rsid w:val="45871207"/>
    <w:rsid w:val="45952C69"/>
    <w:rsid w:val="459D3251"/>
    <w:rsid w:val="45A1725C"/>
    <w:rsid w:val="45A34A00"/>
    <w:rsid w:val="45B33A3B"/>
    <w:rsid w:val="45C20D69"/>
    <w:rsid w:val="45D077D4"/>
    <w:rsid w:val="45DE6754"/>
    <w:rsid w:val="45EF1E60"/>
    <w:rsid w:val="45F877F1"/>
    <w:rsid w:val="46043836"/>
    <w:rsid w:val="460C7BF3"/>
    <w:rsid w:val="46163A58"/>
    <w:rsid w:val="461C30A3"/>
    <w:rsid w:val="461F2208"/>
    <w:rsid w:val="463416CE"/>
    <w:rsid w:val="46363BAB"/>
    <w:rsid w:val="4638223A"/>
    <w:rsid w:val="4641025F"/>
    <w:rsid w:val="46483AAC"/>
    <w:rsid w:val="464B7611"/>
    <w:rsid w:val="466E0F0B"/>
    <w:rsid w:val="4673382E"/>
    <w:rsid w:val="4675674D"/>
    <w:rsid w:val="468D1FB1"/>
    <w:rsid w:val="468F6773"/>
    <w:rsid w:val="469A330F"/>
    <w:rsid w:val="469F56A5"/>
    <w:rsid w:val="46BC1231"/>
    <w:rsid w:val="46C86EBD"/>
    <w:rsid w:val="46DA4A29"/>
    <w:rsid w:val="46DE2697"/>
    <w:rsid w:val="46E26B7A"/>
    <w:rsid w:val="46EF6364"/>
    <w:rsid w:val="46F22FE0"/>
    <w:rsid w:val="46FE495F"/>
    <w:rsid w:val="4702080A"/>
    <w:rsid w:val="470B3C00"/>
    <w:rsid w:val="470C0086"/>
    <w:rsid w:val="470E7548"/>
    <w:rsid w:val="4710440D"/>
    <w:rsid w:val="471911A4"/>
    <w:rsid w:val="471E3E36"/>
    <w:rsid w:val="4723466D"/>
    <w:rsid w:val="472505FE"/>
    <w:rsid w:val="47397A2F"/>
    <w:rsid w:val="473C7D38"/>
    <w:rsid w:val="47453296"/>
    <w:rsid w:val="474642EB"/>
    <w:rsid w:val="47464FC4"/>
    <w:rsid w:val="474C1532"/>
    <w:rsid w:val="4751578B"/>
    <w:rsid w:val="47561544"/>
    <w:rsid w:val="475F797C"/>
    <w:rsid w:val="476025BF"/>
    <w:rsid w:val="47667359"/>
    <w:rsid w:val="47692A32"/>
    <w:rsid w:val="476F7EEF"/>
    <w:rsid w:val="477E5C97"/>
    <w:rsid w:val="477E7524"/>
    <w:rsid w:val="47833A3E"/>
    <w:rsid w:val="4786400A"/>
    <w:rsid w:val="479A3DE3"/>
    <w:rsid w:val="47AB5020"/>
    <w:rsid w:val="47C01F75"/>
    <w:rsid w:val="47DB202B"/>
    <w:rsid w:val="47E57E8D"/>
    <w:rsid w:val="47E65C2F"/>
    <w:rsid w:val="47EB601C"/>
    <w:rsid w:val="47F664B8"/>
    <w:rsid w:val="47F76470"/>
    <w:rsid w:val="47FC1D1A"/>
    <w:rsid w:val="48052A48"/>
    <w:rsid w:val="48067F05"/>
    <w:rsid w:val="48082259"/>
    <w:rsid w:val="480A77E0"/>
    <w:rsid w:val="481A5198"/>
    <w:rsid w:val="48225114"/>
    <w:rsid w:val="482C7A14"/>
    <w:rsid w:val="4830797B"/>
    <w:rsid w:val="48346098"/>
    <w:rsid w:val="483B22B3"/>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8F461AE"/>
    <w:rsid w:val="4900172C"/>
    <w:rsid w:val="491451B5"/>
    <w:rsid w:val="491A53A2"/>
    <w:rsid w:val="492C6E96"/>
    <w:rsid w:val="493779BE"/>
    <w:rsid w:val="49397F2B"/>
    <w:rsid w:val="493F499D"/>
    <w:rsid w:val="494139AE"/>
    <w:rsid w:val="4944457C"/>
    <w:rsid w:val="494E7EAB"/>
    <w:rsid w:val="49510A8A"/>
    <w:rsid w:val="49540842"/>
    <w:rsid w:val="49597EFF"/>
    <w:rsid w:val="49657721"/>
    <w:rsid w:val="49683F5D"/>
    <w:rsid w:val="496C20B1"/>
    <w:rsid w:val="497D092B"/>
    <w:rsid w:val="49825CBE"/>
    <w:rsid w:val="49A67A57"/>
    <w:rsid w:val="49A86828"/>
    <w:rsid w:val="49AD250C"/>
    <w:rsid w:val="49B839C4"/>
    <w:rsid w:val="49D60529"/>
    <w:rsid w:val="49D94FE5"/>
    <w:rsid w:val="49EB7234"/>
    <w:rsid w:val="49F43B8C"/>
    <w:rsid w:val="49F678F8"/>
    <w:rsid w:val="4A0D10B0"/>
    <w:rsid w:val="4A1434B6"/>
    <w:rsid w:val="4A223490"/>
    <w:rsid w:val="4A280924"/>
    <w:rsid w:val="4A2B1DEA"/>
    <w:rsid w:val="4A2D0F49"/>
    <w:rsid w:val="4A3523B2"/>
    <w:rsid w:val="4A362650"/>
    <w:rsid w:val="4A3A31D6"/>
    <w:rsid w:val="4A443451"/>
    <w:rsid w:val="4A483D90"/>
    <w:rsid w:val="4A4D31EF"/>
    <w:rsid w:val="4A6F4E3E"/>
    <w:rsid w:val="4A712BA0"/>
    <w:rsid w:val="4A7A21C8"/>
    <w:rsid w:val="4A86569C"/>
    <w:rsid w:val="4A9A792C"/>
    <w:rsid w:val="4A9C373F"/>
    <w:rsid w:val="4AA56938"/>
    <w:rsid w:val="4AAE33D4"/>
    <w:rsid w:val="4ABD625F"/>
    <w:rsid w:val="4AC01D67"/>
    <w:rsid w:val="4AC558F8"/>
    <w:rsid w:val="4AC80764"/>
    <w:rsid w:val="4AE378B3"/>
    <w:rsid w:val="4AEB5D56"/>
    <w:rsid w:val="4AF733EF"/>
    <w:rsid w:val="4B022DA8"/>
    <w:rsid w:val="4B071D1C"/>
    <w:rsid w:val="4B1232DD"/>
    <w:rsid w:val="4B151D54"/>
    <w:rsid w:val="4B1C5BD6"/>
    <w:rsid w:val="4B2030CF"/>
    <w:rsid w:val="4B2A5E61"/>
    <w:rsid w:val="4B2B23B8"/>
    <w:rsid w:val="4B44035D"/>
    <w:rsid w:val="4B4C4478"/>
    <w:rsid w:val="4B502047"/>
    <w:rsid w:val="4B511027"/>
    <w:rsid w:val="4B551754"/>
    <w:rsid w:val="4B5A73D8"/>
    <w:rsid w:val="4B5B2881"/>
    <w:rsid w:val="4B6071FD"/>
    <w:rsid w:val="4B6842EC"/>
    <w:rsid w:val="4B7E2C71"/>
    <w:rsid w:val="4B8B3A50"/>
    <w:rsid w:val="4B90225B"/>
    <w:rsid w:val="4B911420"/>
    <w:rsid w:val="4B914690"/>
    <w:rsid w:val="4B967ECC"/>
    <w:rsid w:val="4B9801F4"/>
    <w:rsid w:val="4BAA574F"/>
    <w:rsid w:val="4BAB1B30"/>
    <w:rsid w:val="4BB25C31"/>
    <w:rsid w:val="4BC72AF4"/>
    <w:rsid w:val="4BC76589"/>
    <w:rsid w:val="4BD70D0D"/>
    <w:rsid w:val="4BE55BB9"/>
    <w:rsid w:val="4BE75CB2"/>
    <w:rsid w:val="4BEE16DF"/>
    <w:rsid w:val="4C072C26"/>
    <w:rsid w:val="4C0C73F2"/>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D1B2635"/>
    <w:rsid w:val="4D2251B3"/>
    <w:rsid w:val="4D3071CD"/>
    <w:rsid w:val="4D463441"/>
    <w:rsid w:val="4D581BB3"/>
    <w:rsid w:val="4D6837B8"/>
    <w:rsid w:val="4D6A0811"/>
    <w:rsid w:val="4D6F6F69"/>
    <w:rsid w:val="4D776DC3"/>
    <w:rsid w:val="4D877D93"/>
    <w:rsid w:val="4D905912"/>
    <w:rsid w:val="4D9159F5"/>
    <w:rsid w:val="4D96605A"/>
    <w:rsid w:val="4D98115A"/>
    <w:rsid w:val="4D981F26"/>
    <w:rsid w:val="4DA01148"/>
    <w:rsid w:val="4DA622A0"/>
    <w:rsid w:val="4DB645FA"/>
    <w:rsid w:val="4DCD73A9"/>
    <w:rsid w:val="4DD3025E"/>
    <w:rsid w:val="4DDE509A"/>
    <w:rsid w:val="4DE37ECE"/>
    <w:rsid w:val="4DE74431"/>
    <w:rsid w:val="4DF21DFB"/>
    <w:rsid w:val="4DFD3850"/>
    <w:rsid w:val="4E0E6E43"/>
    <w:rsid w:val="4E1702F3"/>
    <w:rsid w:val="4E2369FD"/>
    <w:rsid w:val="4E303544"/>
    <w:rsid w:val="4E3221A3"/>
    <w:rsid w:val="4E33408C"/>
    <w:rsid w:val="4E3D42C6"/>
    <w:rsid w:val="4E652349"/>
    <w:rsid w:val="4E710658"/>
    <w:rsid w:val="4E7869F8"/>
    <w:rsid w:val="4E846458"/>
    <w:rsid w:val="4E8603AB"/>
    <w:rsid w:val="4E9D6535"/>
    <w:rsid w:val="4EA2405B"/>
    <w:rsid w:val="4EB244F5"/>
    <w:rsid w:val="4EB91F32"/>
    <w:rsid w:val="4EC250AA"/>
    <w:rsid w:val="4EC43EE2"/>
    <w:rsid w:val="4EDC653A"/>
    <w:rsid w:val="4EE23ABC"/>
    <w:rsid w:val="4F012386"/>
    <w:rsid w:val="4F0129AC"/>
    <w:rsid w:val="4F01717B"/>
    <w:rsid w:val="4F097167"/>
    <w:rsid w:val="4F0D434F"/>
    <w:rsid w:val="4F2426EF"/>
    <w:rsid w:val="4F2B3FF0"/>
    <w:rsid w:val="4F401FBB"/>
    <w:rsid w:val="4F4D68D9"/>
    <w:rsid w:val="4F4F14DE"/>
    <w:rsid w:val="4F4F565B"/>
    <w:rsid w:val="4F531102"/>
    <w:rsid w:val="4F576D7F"/>
    <w:rsid w:val="4F5A4BC4"/>
    <w:rsid w:val="4F626555"/>
    <w:rsid w:val="4F7933F9"/>
    <w:rsid w:val="4F7B2A3C"/>
    <w:rsid w:val="4F8144A4"/>
    <w:rsid w:val="4F8731AB"/>
    <w:rsid w:val="4F903087"/>
    <w:rsid w:val="4FAD3702"/>
    <w:rsid w:val="4FC6748D"/>
    <w:rsid w:val="4FD14464"/>
    <w:rsid w:val="4FD21ADB"/>
    <w:rsid w:val="4FE20BB5"/>
    <w:rsid w:val="4FE6073F"/>
    <w:rsid w:val="4FE75848"/>
    <w:rsid w:val="4FF267B6"/>
    <w:rsid w:val="4FF83845"/>
    <w:rsid w:val="4FFA7287"/>
    <w:rsid w:val="500C2485"/>
    <w:rsid w:val="500C2A64"/>
    <w:rsid w:val="50166EE3"/>
    <w:rsid w:val="502C53C6"/>
    <w:rsid w:val="50326612"/>
    <w:rsid w:val="503839AD"/>
    <w:rsid w:val="503B7294"/>
    <w:rsid w:val="50564035"/>
    <w:rsid w:val="50576974"/>
    <w:rsid w:val="50736D9F"/>
    <w:rsid w:val="509A6650"/>
    <w:rsid w:val="50B14CA7"/>
    <w:rsid w:val="50B42C92"/>
    <w:rsid w:val="50BF22FC"/>
    <w:rsid w:val="50C46433"/>
    <w:rsid w:val="50CA02C2"/>
    <w:rsid w:val="50E703F1"/>
    <w:rsid w:val="50F04F61"/>
    <w:rsid w:val="50F25B05"/>
    <w:rsid w:val="50F55DCE"/>
    <w:rsid w:val="51122A4F"/>
    <w:rsid w:val="5118355B"/>
    <w:rsid w:val="511F6BFE"/>
    <w:rsid w:val="5125613F"/>
    <w:rsid w:val="512A08D6"/>
    <w:rsid w:val="512B081D"/>
    <w:rsid w:val="512B4746"/>
    <w:rsid w:val="512D688E"/>
    <w:rsid w:val="5135598E"/>
    <w:rsid w:val="5150314F"/>
    <w:rsid w:val="51526357"/>
    <w:rsid w:val="51533CC7"/>
    <w:rsid w:val="51552566"/>
    <w:rsid w:val="515D3B2B"/>
    <w:rsid w:val="515F7EA6"/>
    <w:rsid w:val="516164B6"/>
    <w:rsid w:val="51626877"/>
    <w:rsid w:val="516372E4"/>
    <w:rsid w:val="516414B3"/>
    <w:rsid w:val="517003D2"/>
    <w:rsid w:val="51857977"/>
    <w:rsid w:val="518845E9"/>
    <w:rsid w:val="51887C28"/>
    <w:rsid w:val="518960E5"/>
    <w:rsid w:val="519705C8"/>
    <w:rsid w:val="519B3A9C"/>
    <w:rsid w:val="519D4EB2"/>
    <w:rsid w:val="51B33439"/>
    <w:rsid w:val="51B3391D"/>
    <w:rsid w:val="51BD3E01"/>
    <w:rsid w:val="51CB7231"/>
    <w:rsid w:val="51DE6A73"/>
    <w:rsid w:val="51F326E7"/>
    <w:rsid w:val="5207632B"/>
    <w:rsid w:val="52186B5F"/>
    <w:rsid w:val="521956B4"/>
    <w:rsid w:val="522804CA"/>
    <w:rsid w:val="52306F10"/>
    <w:rsid w:val="523F19CF"/>
    <w:rsid w:val="52463294"/>
    <w:rsid w:val="52473222"/>
    <w:rsid w:val="524C1ED0"/>
    <w:rsid w:val="5252693E"/>
    <w:rsid w:val="525B21B3"/>
    <w:rsid w:val="52795828"/>
    <w:rsid w:val="5288723F"/>
    <w:rsid w:val="529D62AB"/>
    <w:rsid w:val="529F50F0"/>
    <w:rsid w:val="52A764C0"/>
    <w:rsid w:val="52A77E20"/>
    <w:rsid w:val="52AA1D5D"/>
    <w:rsid w:val="52B27CEE"/>
    <w:rsid w:val="52C716E5"/>
    <w:rsid w:val="52C73CB6"/>
    <w:rsid w:val="52CF5BD6"/>
    <w:rsid w:val="52D6173B"/>
    <w:rsid w:val="52D81A88"/>
    <w:rsid w:val="52DF3E91"/>
    <w:rsid w:val="52E02DB1"/>
    <w:rsid w:val="52E15A71"/>
    <w:rsid w:val="52E64FBD"/>
    <w:rsid w:val="52ED5A18"/>
    <w:rsid w:val="53002131"/>
    <w:rsid w:val="530C65D4"/>
    <w:rsid w:val="532049B3"/>
    <w:rsid w:val="5322043D"/>
    <w:rsid w:val="5328483A"/>
    <w:rsid w:val="532D0EE3"/>
    <w:rsid w:val="53330770"/>
    <w:rsid w:val="53361AE6"/>
    <w:rsid w:val="533C018A"/>
    <w:rsid w:val="53452322"/>
    <w:rsid w:val="534578C9"/>
    <w:rsid w:val="5347639A"/>
    <w:rsid w:val="534E13AE"/>
    <w:rsid w:val="534E2F35"/>
    <w:rsid w:val="53513372"/>
    <w:rsid w:val="5375600D"/>
    <w:rsid w:val="537629B5"/>
    <w:rsid w:val="537A2356"/>
    <w:rsid w:val="537B6AB8"/>
    <w:rsid w:val="538556C1"/>
    <w:rsid w:val="53866318"/>
    <w:rsid w:val="53992E41"/>
    <w:rsid w:val="53A7222E"/>
    <w:rsid w:val="53A97A93"/>
    <w:rsid w:val="53C20ED8"/>
    <w:rsid w:val="53C54822"/>
    <w:rsid w:val="53C548B5"/>
    <w:rsid w:val="53C87335"/>
    <w:rsid w:val="53D25C65"/>
    <w:rsid w:val="53DF39C7"/>
    <w:rsid w:val="53E42112"/>
    <w:rsid w:val="53EF6E85"/>
    <w:rsid w:val="53F050F7"/>
    <w:rsid w:val="53FD74A7"/>
    <w:rsid w:val="53FF5104"/>
    <w:rsid w:val="54026475"/>
    <w:rsid w:val="540D2DB1"/>
    <w:rsid w:val="54113405"/>
    <w:rsid w:val="541B5101"/>
    <w:rsid w:val="54265DCC"/>
    <w:rsid w:val="542A741B"/>
    <w:rsid w:val="54564414"/>
    <w:rsid w:val="54564BA3"/>
    <w:rsid w:val="545A23E4"/>
    <w:rsid w:val="545D2A76"/>
    <w:rsid w:val="547C69F2"/>
    <w:rsid w:val="548352CB"/>
    <w:rsid w:val="548B782B"/>
    <w:rsid w:val="548B79F3"/>
    <w:rsid w:val="54900F96"/>
    <w:rsid w:val="54990495"/>
    <w:rsid w:val="549E6388"/>
    <w:rsid w:val="54A12B05"/>
    <w:rsid w:val="54AE498A"/>
    <w:rsid w:val="54D509EC"/>
    <w:rsid w:val="54D73DC0"/>
    <w:rsid w:val="54D94CB6"/>
    <w:rsid w:val="54EB4981"/>
    <w:rsid w:val="55093E22"/>
    <w:rsid w:val="553266E7"/>
    <w:rsid w:val="553413DD"/>
    <w:rsid w:val="55367F4D"/>
    <w:rsid w:val="553A13A9"/>
    <w:rsid w:val="55440B0E"/>
    <w:rsid w:val="55494A31"/>
    <w:rsid w:val="554B1F27"/>
    <w:rsid w:val="5559545D"/>
    <w:rsid w:val="55794F8B"/>
    <w:rsid w:val="557A628A"/>
    <w:rsid w:val="557B4C8B"/>
    <w:rsid w:val="55832F33"/>
    <w:rsid w:val="558A5F58"/>
    <w:rsid w:val="558D782E"/>
    <w:rsid w:val="558F42FA"/>
    <w:rsid w:val="55951C70"/>
    <w:rsid w:val="55A96CF2"/>
    <w:rsid w:val="55AC6B1C"/>
    <w:rsid w:val="55BB4B52"/>
    <w:rsid w:val="55BF1918"/>
    <w:rsid w:val="55CA34C8"/>
    <w:rsid w:val="55CB1CAC"/>
    <w:rsid w:val="55D11067"/>
    <w:rsid w:val="55D15F89"/>
    <w:rsid w:val="55D24E7E"/>
    <w:rsid w:val="55EA6D1D"/>
    <w:rsid w:val="55EE45E5"/>
    <w:rsid w:val="55FE6BE4"/>
    <w:rsid w:val="56042E5A"/>
    <w:rsid w:val="56053523"/>
    <w:rsid w:val="560839E5"/>
    <w:rsid w:val="560A2D1E"/>
    <w:rsid w:val="56177793"/>
    <w:rsid w:val="56211BC6"/>
    <w:rsid w:val="565149E1"/>
    <w:rsid w:val="56597936"/>
    <w:rsid w:val="565A3745"/>
    <w:rsid w:val="56674043"/>
    <w:rsid w:val="566A4A9E"/>
    <w:rsid w:val="56746C19"/>
    <w:rsid w:val="56890707"/>
    <w:rsid w:val="5694199B"/>
    <w:rsid w:val="56A010CA"/>
    <w:rsid w:val="56A8433D"/>
    <w:rsid w:val="56B50793"/>
    <w:rsid w:val="56BB6F24"/>
    <w:rsid w:val="56D87655"/>
    <w:rsid w:val="56DA3AE3"/>
    <w:rsid w:val="56DC7D13"/>
    <w:rsid w:val="56DD7F29"/>
    <w:rsid w:val="56DF393F"/>
    <w:rsid w:val="56E82126"/>
    <w:rsid w:val="56F267E1"/>
    <w:rsid w:val="56F54041"/>
    <w:rsid w:val="57036935"/>
    <w:rsid w:val="57066F91"/>
    <w:rsid w:val="570C7C2A"/>
    <w:rsid w:val="571324AB"/>
    <w:rsid w:val="571E6EC9"/>
    <w:rsid w:val="57211E57"/>
    <w:rsid w:val="57271B76"/>
    <w:rsid w:val="57290486"/>
    <w:rsid w:val="572E4AE3"/>
    <w:rsid w:val="57330B0B"/>
    <w:rsid w:val="57442A95"/>
    <w:rsid w:val="57495B53"/>
    <w:rsid w:val="57555665"/>
    <w:rsid w:val="57557060"/>
    <w:rsid w:val="575F3DA0"/>
    <w:rsid w:val="5764164C"/>
    <w:rsid w:val="57741E6F"/>
    <w:rsid w:val="577838C7"/>
    <w:rsid w:val="577A51D7"/>
    <w:rsid w:val="578274F3"/>
    <w:rsid w:val="57885BFA"/>
    <w:rsid w:val="578E0E4C"/>
    <w:rsid w:val="579646C9"/>
    <w:rsid w:val="5798597C"/>
    <w:rsid w:val="57A13973"/>
    <w:rsid w:val="57AB1756"/>
    <w:rsid w:val="57B377B9"/>
    <w:rsid w:val="57BA40E0"/>
    <w:rsid w:val="57C05330"/>
    <w:rsid w:val="57E46B48"/>
    <w:rsid w:val="57E47536"/>
    <w:rsid w:val="57F86A47"/>
    <w:rsid w:val="57FF48DA"/>
    <w:rsid w:val="5801289D"/>
    <w:rsid w:val="58033F83"/>
    <w:rsid w:val="58034FDF"/>
    <w:rsid w:val="58051F1B"/>
    <w:rsid w:val="580F2CBC"/>
    <w:rsid w:val="581669AF"/>
    <w:rsid w:val="5824588D"/>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74E2C"/>
    <w:rsid w:val="58AD7BF3"/>
    <w:rsid w:val="58B50A9E"/>
    <w:rsid w:val="58B54357"/>
    <w:rsid w:val="58B67D21"/>
    <w:rsid w:val="58C213D0"/>
    <w:rsid w:val="58C9714A"/>
    <w:rsid w:val="58CA2633"/>
    <w:rsid w:val="58D108AB"/>
    <w:rsid w:val="58DD34EB"/>
    <w:rsid w:val="58E614E5"/>
    <w:rsid w:val="58E849A9"/>
    <w:rsid w:val="58F14B54"/>
    <w:rsid w:val="590848BC"/>
    <w:rsid w:val="5917423E"/>
    <w:rsid w:val="591F53C7"/>
    <w:rsid w:val="593B0E3D"/>
    <w:rsid w:val="594C374D"/>
    <w:rsid w:val="59523F34"/>
    <w:rsid w:val="59565A07"/>
    <w:rsid w:val="595912C2"/>
    <w:rsid w:val="59623717"/>
    <w:rsid w:val="59826013"/>
    <w:rsid w:val="598F5442"/>
    <w:rsid w:val="599312D8"/>
    <w:rsid w:val="59A83A62"/>
    <w:rsid w:val="59AE6DF4"/>
    <w:rsid w:val="59AF2D7A"/>
    <w:rsid w:val="59B4120E"/>
    <w:rsid w:val="59BD38A6"/>
    <w:rsid w:val="59BD41FF"/>
    <w:rsid w:val="59C62A60"/>
    <w:rsid w:val="59CF35AC"/>
    <w:rsid w:val="59D93084"/>
    <w:rsid w:val="59E268FB"/>
    <w:rsid w:val="59E539F6"/>
    <w:rsid w:val="5A082B87"/>
    <w:rsid w:val="5A0C31B3"/>
    <w:rsid w:val="5A0D6A16"/>
    <w:rsid w:val="5A13713E"/>
    <w:rsid w:val="5A234B8C"/>
    <w:rsid w:val="5A280787"/>
    <w:rsid w:val="5A2A4F1C"/>
    <w:rsid w:val="5A2B68D2"/>
    <w:rsid w:val="5A2F6ABD"/>
    <w:rsid w:val="5A415650"/>
    <w:rsid w:val="5A5105C3"/>
    <w:rsid w:val="5A5305BF"/>
    <w:rsid w:val="5A5925FE"/>
    <w:rsid w:val="5A5A54FE"/>
    <w:rsid w:val="5A64494E"/>
    <w:rsid w:val="5A70416F"/>
    <w:rsid w:val="5A751708"/>
    <w:rsid w:val="5A8654CC"/>
    <w:rsid w:val="5A8D164F"/>
    <w:rsid w:val="5AAD6717"/>
    <w:rsid w:val="5AB032EE"/>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B49E6"/>
    <w:rsid w:val="5BCF72D3"/>
    <w:rsid w:val="5BD06812"/>
    <w:rsid w:val="5BD734B1"/>
    <w:rsid w:val="5BEA796C"/>
    <w:rsid w:val="5BF12BF0"/>
    <w:rsid w:val="5BF96A75"/>
    <w:rsid w:val="5C1C4A54"/>
    <w:rsid w:val="5C1D6C33"/>
    <w:rsid w:val="5C211073"/>
    <w:rsid w:val="5C211DBE"/>
    <w:rsid w:val="5C284801"/>
    <w:rsid w:val="5C2F7B0C"/>
    <w:rsid w:val="5C305DF7"/>
    <w:rsid w:val="5C331AF1"/>
    <w:rsid w:val="5C3D01F5"/>
    <w:rsid w:val="5C3D2513"/>
    <w:rsid w:val="5C4E4EC4"/>
    <w:rsid w:val="5C5003EA"/>
    <w:rsid w:val="5C69733D"/>
    <w:rsid w:val="5C74658F"/>
    <w:rsid w:val="5C831D8A"/>
    <w:rsid w:val="5C8C7C44"/>
    <w:rsid w:val="5C947ABA"/>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30676"/>
    <w:rsid w:val="5CF329AB"/>
    <w:rsid w:val="5CFA66B6"/>
    <w:rsid w:val="5D041DC0"/>
    <w:rsid w:val="5D11373C"/>
    <w:rsid w:val="5D155469"/>
    <w:rsid w:val="5D1B772E"/>
    <w:rsid w:val="5D1B79E4"/>
    <w:rsid w:val="5D547F6C"/>
    <w:rsid w:val="5D604556"/>
    <w:rsid w:val="5D9A4CC0"/>
    <w:rsid w:val="5D9C5494"/>
    <w:rsid w:val="5DA03427"/>
    <w:rsid w:val="5DA12B26"/>
    <w:rsid w:val="5DA52D6F"/>
    <w:rsid w:val="5DB57154"/>
    <w:rsid w:val="5DBE365D"/>
    <w:rsid w:val="5DD709F4"/>
    <w:rsid w:val="5DE369DF"/>
    <w:rsid w:val="5DF242AA"/>
    <w:rsid w:val="5DF27D5A"/>
    <w:rsid w:val="5DF90388"/>
    <w:rsid w:val="5E040059"/>
    <w:rsid w:val="5E084C7B"/>
    <w:rsid w:val="5E0914A4"/>
    <w:rsid w:val="5E1844B1"/>
    <w:rsid w:val="5E1F00DC"/>
    <w:rsid w:val="5E250B5E"/>
    <w:rsid w:val="5E325F47"/>
    <w:rsid w:val="5E3C6C0B"/>
    <w:rsid w:val="5E3F4424"/>
    <w:rsid w:val="5E433908"/>
    <w:rsid w:val="5E506258"/>
    <w:rsid w:val="5E596E47"/>
    <w:rsid w:val="5E640B4C"/>
    <w:rsid w:val="5E721515"/>
    <w:rsid w:val="5E8421F4"/>
    <w:rsid w:val="5E857C28"/>
    <w:rsid w:val="5E895A6D"/>
    <w:rsid w:val="5E922AF4"/>
    <w:rsid w:val="5E943315"/>
    <w:rsid w:val="5E99403E"/>
    <w:rsid w:val="5EA23BEF"/>
    <w:rsid w:val="5EAB7374"/>
    <w:rsid w:val="5EB5647F"/>
    <w:rsid w:val="5ECA0FC9"/>
    <w:rsid w:val="5ECA27B9"/>
    <w:rsid w:val="5ECB7BF2"/>
    <w:rsid w:val="5EDA6EB5"/>
    <w:rsid w:val="5EDE25A0"/>
    <w:rsid w:val="5EE969C3"/>
    <w:rsid w:val="5EF24373"/>
    <w:rsid w:val="5EF30AE7"/>
    <w:rsid w:val="5EF775EB"/>
    <w:rsid w:val="5F08511C"/>
    <w:rsid w:val="5F123402"/>
    <w:rsid w:val="5F15489F"/>
    <w:rsid w:val="5F160E8A"/>
    <w:rsid w:val="5F1B18E3"/>
    <w:rsid w:val="5F1B6750"/>
    <w:rsid w:val="5F2E502C"/>
    <w:rsid w:val="5F3730C1"/>
    <w:rsid w:val="5F3F41A6"/>
    <w:rsid w:val="5F416DDD"/>
    <w:rsid w:val="5F5F2A5D"/>
    <w:rsid w:val="5F6123FD"/>
    <w:rsid w:val="5F6A70E7"/>
    <w:rsid w:val="5F7413ED"/>
    <w:rsid w:val="5F74277E"/>
    <w:rsid w:val="5F771E2C"/>
    <w:rsid w:val="5F817E11"/>
    <w:rsid w:val="5F916B4B"/>
    <w:rsid w:val="5FA76A91"/>
    <w:rsid w:val="5FC57C91"/>
    <w:rsid w:val="5FCE245F"/>
    <w:rsid w:val="5FD32219"/>
    <w:rsid w:val="5FDC1B9B"/>
    <w:rsid w:val="5FF50B7C"/>
    <w:rsid w:val="5FF74A8C"/>
    <w:rsid w:val="5FFB1252"/>
    <w:rsid w:val="60072412"/>
    <w:rsid w:val="60130301"/>
    <w:rsid w:val="603043EF"/>
    <w:rsid w:val="604D59E9"/>
    <w:rsid w:val="6053446B"/>
    <w:rsid w:val="606821BD"/>
    <w:rsid w:val="607C2F09"/>
    <w:rsid w:val="60830074"/>
    <w:rsid w:val="60865F29"/>
    <w:rsid w:val="60870B21"/>
    <w:rsid w:val="608E350A"/>
    <w:rsid w:val="6095223F"/>
    <w:rsid w:val="609C30A8"/>
    <w:rsid w:val="60A869EE"/>
    <w:rsid w:val="60AA0843"/>
    <w:rsid w:val="60AA152B"/>
    <w:rsid w:val="60AC0C65"/>
    <w:rsid w:val="60AF3BE9"/>
    <w:rsid w:val="60B751F5"/>
    <w:rsid w:val="60D33850"/>
    <w:rsid w:val="60D70690"/>
    <w:rsid w:val="60D770B3"/>
    <w:rsid w:val="60DD07BF"/>
    <w:rsid w:val="60E9103E"/>
    <w:rsid w:val="60F90243"/>
    <w:rsid w:val="610526AE"/>
    <w:rsid w:val="61064974"/>
    <w:rsid w:val="610C1445"/>
    <w:rsid w:val="61170762"/>
    <w:rsid w:val="61191DDC"/>
    <w:rsid w:val="611E245A"/>
    <w:rsid w:val="613D1452"/>
    <w:rsid w:val="6143603C"/>
    <w:rsid w:val="61545B6D"/>
    <w:rsid w:val="616C773E"/>
    <w:rsid w:val="616E6778"/>
    <w:rsid w:val="61732AA9"/>
    <w:rsid w:val="61734E83"/>
    <w:rsid w:val="61763288"/>
    <w:rsid w:val="61787CB9"/>
    <w:rsid w:val="61945CD8"/>
    <w:rsid w:val="6194788E"/>
    <w:rsid w:val="61981920"/>
    <w:rsid w:val="61A335E1"/>
    <w:rsid w:val="61A359FF"/>
    <w:rsid w:val="61B80969"/>
    <w:rsid w:val="61BD00F1"/>
    <w:rsid w:val="61C02FF5"/>
    <w:rsid w:val="61D55291"/>
    <w:rsid w:val="61DB6C55"/>
    <w:rsid w:val="61EE19CC"/>
    <w:rsid w:val="61F354C2"/>
    <w:rsid w:val="620E5D8A"/>
    <w:rsid w:val="62125083"/>
    <w:rsid w:val="62262E7A"/>
    <w:rsid w:val="622B746B"/>
    <w:rsid w:val="6231003C"/>
    <w:rsid w:val="62366488"/>
    <w:rsid w:val="62374677"/>
    <w:rsid w:val="623B63B7"/>
    <w:rsid w:val="623F4920"/>
    <w:rsid w:val="62494F09"/>
    <w:rsid w:val="624A1B49"/>
    <w:rsid w:val="624E45D8"/>
    <w:rsid w:val="6250617C"/>
    <w:rsid w:val="62520DCA"/>
    <w:rsid w:val="62556728"/>
    <w:rsid w:val="62666F47"/>
    <w:rsid w:val="62690F67"/>
    <w:rsid w:val="627A370F"/>
    <w:rsid w:val="62990512"/>
    <w:rsid w:val="62B25649"/>
    <w:rsid w:val="62BC6E00"/>
    <w:rsid w:val="62C56FE5"/>
    <w:rsid w:val="62C7240E"/>
    <w:rsid w:val="62CD1DB7"/>
    <w:rsid w:val="62D24E71"/>
    <w:rsid w:val="62EA423D"/>
    <w:rsid w:val="630031BE"/>
    <w:rsid w:val="630E78F0"/>
    <w:rsid w:val="63103FC7"/>
    <w:rsid w:val="63160CAE"/>
    <w:rsid w:val="631652DA"/>
    <w:rsid w:val="631D3111"/>
    <w:rsid w:val="63204A36"/>
    <w:rsid w:val="63250A4F"/>
    <w:rsid w:val="632620C3"/>
    <w:rsid w:val="63283C61"/>
    <w:rsid w:val="632E1C39"/>
    <w:rsid w:val="633B5E70"/>
    <w:rsid w:val="635342C2"/>
    <w:rsid w:val="635B4F0A"/>
    <w:rsid w:val="6361690C"/>
    <w:rsid w:val="636D152D"/>
    <w:rsid w:val="63727389"/>
    <w:rsid w:val="63733461"/>
    <w:rsid w:val="63740D84"/>
    <w:rsid w:val="637E3BE7"/>
    <w:rsid w:val="63850E8E"/>
    <w:rsid w:val="638C4CDE"/>
    <w:rsid w:val="63905FCF"/>
    <w:rsid w:val="63A20961"/>
    <w:rsid w:val="63A20A78"/>
    <w:rsid w:val="63A853FB"/>
    <w:rsid w:val="63C06828"/>
    <w:rsid w:val="63C75B92"/>
    <w:rsid w:val="63CA29B9"/>
    <w:rsid w:val="63D3253C"/>
    <w:rsid w:val="63DB4622"/>
    <w:rsid w:val="63DB6970"/>
    <w:rsid w:val="63EC6C3A"/>
    <w:rsid w:val="63F55A8D"/>
    <w:rsid w:val="63F60575"/>
    <w:rsid w:val="63F77FB1"/>
    <w:rsid w:val="63F97961"/>
    <w:rsid w:val="640E3524"/>
    <w:rsid w:val="640F7FA3"/>
    <w:rsid w:val="64102D47"/>
    <w:rsid w:val="64280937"/>
    <w:rsid w:val="64294638"/>
    <w:rsid w:val="642A086C"/>
    <w:rsid w:val="642F435C"/>
    <w:rsid w:val="64307255"/>
    <w:rsid w:val="64410116"/>
    <w:rsid w:val="64412FC5"/>
    <w:rsid w:val="644A77C2"/>
    <w:rsid w:val="644D738F"/>
    <w:rsid w:val="6475495F"/>
    <w:rsid w:val="64A37D80"/>
    <w:rsid w:val="64AB2CF9"/>
    <w:rsid w:val="64B3076F"/>
    <w:rsid w:val="64B44C57"/>
    <w:rsid w:val="64B73716"/>
    <w:rsid w:val="64B83EC8"/>
    <w:rsid w:val="64BD7A01"/>
    <w:rsid w:val="64C97B3D"/>
    <w:rsid w:val="64CD75B9"/>
    <w:rsid w:val="64D62ECA"/>
    <w:rsid w:val="64D85F5A"/>
    <w:rsid w:val="64EE07A4"/>
    <w:rsid w:val="64F7096E"/>
    <w:rsid w:val="64FD759D"/>
    <w:rsid w:val="65003550"/>
    <w:rsid w:val="650345B5"/>
    <w:rsid w:val="65041A55"/>
    <w:rsid w:val="65096401"/>
    <w:rsid w:val="65180B86"/>
    <w:rsid w:val="651F1D9A"/>
    <w:rsid w:val="6528351F"/>
    <w:rsid w:val="653033DC"/>
    <w:rsid w:val="65327258"/>
    <w:rsid w:val="6539735F"/>
    <w:rsid w:val="653B595E"/>
    <w:rsid w:val="653F00AD"/>
    <w:rsid w:val="65544D25"/>
    <w:rsid w:val="655C6CD3"/>
    <w:rsid w:val="655D5C4F"/>
    <w:rsid w:val="6566344B"/>
    <w:rsid w:val="656A573C"/>
    <w:rsid w:val="65763127"/>
    <w:rsid w:val="65886A1A"/>
    <w:rsid w:val="65905186"/>
    <w:rsid w:val="65937E61"/>
    <w:rsid w:val="659E6DB8"/>
    <w:rsid w:val="65A35E61"/>
    <w:rsid w:val="65A62DB8"/>
    <w:rsid w:val="65B12C47"/>
    <w:rsid w:val="65B22CB3"/>
    <w:rsid w:val="65B867AF"/>
    <w:rsid w:val="65B93F20"/>
    <w:rsid w:val="65BB367F"/>
    <w:rsid w:val="65C166EF"/>
    <w:rsid w:val="65CA48D5"/>
    <w:rsid w:val="65D260A3"/>
    <w:rsid w:val="65D72393"/>
    <w:rsid w:val="65DA1825"/>
    <w:rsid w:val="65DC577D"/>
    <w:rsid w:val="65E55DC7"/>
    <w:rsid w:val="660518AD"/>
    <w:rsid w:val="660F12C7"/>
    <w:rsid w:val="66112D35"/>
    <w:rsid w:val="662249C7"/>
    <w:rsid w:val="662E458E"/>
    <w:rsid w:val="66421A2F"/>
    <w:rsid w:val="664F1459"/>
    <w:rsid w:val="665E6ABE"/>
    <w:rsid w:val="6660751B"/>
    <w:rsid w:val="66843C27"/>
    <w:rsid w:val="668A358B"/>
    <w:rsid w:val="66A22294"/>
    <w:rsid w:val="66B167D9"/>
    <w:rsid w:val="66B718F6"/>
    <w:rsid w:val="66B77C96"/>
    <w:rsid w:val="66C6028C"/>
    <w:rsid w:val="66CE0150"/>
    <w:rsid w:val="66F35B25"/>
    <w:rsid w:val="66FD34E6"/>
    <w:rsid w:val="66FE30D6"/>
    <w:rsid w:val="67087440"/>
    <w:rsid w:val="670B02A7"/>
    <w:rsid w:val="670B2E41"/>
    <w:rsid w:val="671B2EF2"/>
    <w:rsid w:val="67243505"/>
    <w:rsid w:val="6732010A"/>
    <w:rsid w:val="6733716B"/>
    <w:rsid w:val="67396278"/>
    <w:rsid w:val="674D7E5D"/>
    <w:rsid w:val="675B6F05"/>
    <w:rsid w:val="675F10E8"/>
    <w:rsid w:val="67616926"/>
    <w:rsid w:val="67665265"/>
    <w:rsid w:val="67721F8C"/>
    <w:rsid w:val="677A3AA5"/>
    <w:rsid w:val="677C0BF7"/>
    <w:rsid w:val="677D2510"/>
    <w:rsid w:val="677E2968"/>
    <w:rsid w:val="6793286F"/>
    <w:rsid w:val="679959C7"/>
    <w:rsid w:val="67997714"/>
    <w:rsid w:val="679E7A1F"/>
    <w:rsid w:val="67AF466A"/>
    <w:rsid w:val="67B36D91"/>
    <w:rsid w:val="67CC457F"/>
    <w:rsid w:val="67CD4770"/>
    <w:rsid w:val="67D61D54"/>
    <w:rsid w:val="67DF5131"/>
    <w:rsid w:val="67E0527D"/>
    <w:rsid w:val="67E31422"/>
    <w:rsid w:val="67EA4D75"/>
    <w:rsid w:val="67F50316"/>
    <w:rsid w:val="67F8136D"/>
    <w:rsid w:val="680B3317"/>
    <w:rsid w:val="68110776"/>
    <w:rsid w:val="682A2E4A"/>
    <w:rsid w:val="682C3322"/>
    <w:rsid w:val="6836398C"/>
    <w:rsid w:val="68570DC2"/>
    <w:rsid w:val="686509B8"/>
    <w:rsid w:val="6865768E"/>
    <w:rsid w:val="6868422B"/>
    <w:rsid w:val="68730D77"/>
    <w:rsid w:val="68756660"/>
    <w:rsid w:val="687B65AE"/>
    <w:rsid w:val="687C3D57"/>
    <w:rsid w:val="68847A53"/>
    <w:rsid w:val="688715A6"/>
    <w:rsid w:val="68910854"/>
    <w:rsid w:val="68A208F6"/>
    <w:rsid w:val="68A67187"/>
    <w:rsid w:val="68A864AF"/>
    <w:rsid w:val="68BD3F1B"/>
    <w:rsid w:val="68C040DA"/>
    <w:rsid w:val="68D02B84"/>
    <w:rsid w:val="68FE79AF"/>
    <w:rsid w:val="69012993"/>
    <w:rsid w:val="690220BD"/>
    <w:rsid w:val="69030DDF"/>
    <w:rsid w:val="690A03F6"/>
    <w:rsid w:val="6912744C"/>
    <w:rsid w:val="69187AE4"/>
    <w:rsid w:val="691B76DD"/>
    <w:rsid w:val="69273460"/>
    <w:rsid w:val="69336BFC"/>
    <w:rsid w:val="69396548"/>
    <w:rsid w:val="693A02E5"/>
    <w:rsid w:val="694F15B3"/>
    <w:rsid w:val="695276CE"/>
    <w:rsid w:val="69611825"/>
    <w:rsid w:val="696E6A02"/>
    <w:rsid w:val="69797C2C"/>
    <w:rsid w:val="69823C91"/>
    <w:rsid w:val="69826BA8"/>
    <w:rsid w:val="698A1E75"/>
    <w:rsid w:val="6998191E"/>
    <w:rsid w:val="699D3999"/>
    <w:rsid w:val="69B3536F"/>
    <w:rsid w:val="69BB5859"/>
    <w:rsid w:val="69BD39E9"/>
    <w:rsid w:val="69BF1493"/>
    <w:rsid w:val="69C5778C"/>
    <w:rsid w:val="69C953F4"/>
    <w:rsid w:val="69D12A83"/>
    <w:rsid w:val="69D15066"/>
    <w:rsid w:val="69E55D04"/>
    <w:rsid w:val="69E71CBB"/>
    <w:rsid w:val="69F72AD4"/>
    <w:rsid w:val="69F90A22"/>
    <w:rsid w:val="6A041549"/>
    <w:rsid w:val="6A062314"/>
    <w:rsid w:val="6A07169A"/>
    <w:rsid w:val="6A1904ED"/>
    <w:rsid w:val="6A252E83"/>
    <w:rsid w:val="6A2562C3"/>
    <w:rsid w:val="6A2919D0"/>
    <w:rsid w:val="6A2B39A2"/>
    <w:rsid w:val="6A385B30"/>
    <w:rsid w:val="6A4E63D2"/>
    <w:rsid w:val="6A72023C"/>
    <w:rsid w:val="6A835F76"/>
    <w:rsid w:val="6A892BBB"/>
    <w:rsid w:val="6A934155"/>
    <w:rsid w:val="6A960F65"/>
    <w:rsid w:val="6A977D6C"/>
    <w:rsid w:val="6A981DCD"/>
    <w:rsid w:val="6AAD07D7"/>
    <w:rsid w:val="6AB638F9"/>
    <w:rsid w:val="6AB71A6D"/>
    <w:rsid w:val="6AC60704"/>
    <w:rsid w:val="6AE65368"/>
    <w:rsid w:val="6AEF2922"/>
    <w:rsid w:val="6AF317F3"/>
    <w:rsid w:val="6AFB3EF9"/>
    <w:rsid w:val="6AFF3D73"/>
    <w:rsid w:val="6B0B7BB9"/>
    <w:rsid w:val="6B1444F7"/>
    <w:rsid w:val="6B1C3891"/>
    <w:rsid w:val="6B3F28EF"/>
    <w:rsid w:val="6B4C5F2C"/>
    <w:rsid w:val="6B561562"/>
    <w:rsid w:val="6B5A2A48"/>
    <w:rsid w:val="6B5C19C0"/>
    <w:rsid w:val="6B620C02"/>
    <w:rsid w:val="6B6B48CC"/>
    <w:rsid w:val="6B702C55"/>
    <w:rsid w:val="6B743F45"/>
    <w:rsid w:val="6B7760FC"/>
    <w:rsid w:val="6B792121"/>
    <w:rsid w:val="6B8019CD"/>
    <w:rsid w:val="6B88110E"/>
    <w:rsid w:val="6B8F7643"/>
    <w:rsid w:val="6B9A4DEC"/>
    <w:rsid w:val="6B9C0D8E"/>
    <w:rsid w:val="6BA4629F"/>
    <w:rsid w:val="6BAA3072"/>
    <w:rsid w:val="6BB4311A"/>
    <w:rsid w:val="6BC263E3"/>
    <w:rsid w:val="6BCE7A05"/>
    <w:rsid w:val="6BD844D6"/>
    <w:rsid w:val="6BE24B28"/>
    <w:rsid w:val="6BE3648F"/>
    <w:rsid w:val="6BEA6208"/>
    <w:rsid w:val="6BFF45AB"/>
    <w:rsid w:val="6C081D85"/>
    <w:rsid w:val="6C0B6EFE"/>
    <w:rsid w:val="6C103EDA"/>
    <w:rsid w:val="6C337910"/>
    <w:rsid w:val="6C3437C4"/>
    <w:rsid w:val="6C404FA0"/>
    <w:rsid w:val="6C4B4E38"/>
    <w:rsid w:val="6C5343CE"/>
    <w:rsid w:val="6C5643DD"/>
    <w:rsid w:val="6C727D8C"/>
    <w:rsid w:val="6C7C29A7"/>
    <w:rsid w:val="6C7E38DE"/>
    <w:rsid w:val="6C8021EA"/>
    <w:rsid w:val="6C804214"/>
    <w:rsid w:val="6C9E3F39"/>
    <w:rsid w:val="6CA52D2A"/>
    <w:rsid w:val="6CB56876"/>
    <w:rsid w:val="6CBF389C"/>
    <w:rsid w:val="6CC419F3"/>
    <w:rsid w:val="6CC469B5"/>
    <w:rsid w:val="6CC52465"/>
    <w:rsid w:val="6CC5648B"/>
    <w:rsid w:val="6CCC3EC6"/>
    <w:rsid w:val="6CCC7BAE"/>
    <w:rsid w:val="6CCD2866"/>
    <w:rsid w:val="6CCD6ABB"/>
    <w:rsid w:val="6CDF33E2"/>
    <w:rsid w:val="6CE97F64"/>
    <w:rsid w:val="6CEB0E2F"/>
    <w:rsid w:val="6CF106AD"/>
    <w:rsid w:val="6CF549E6"/>
    <w:rsid w:val="6CFA1076"/>
    <w:rsid w:val="6CFA777D"/>
    <w:rsid w:val="6D056479"/>
    <w:rsid w:val="6D071360"/>
    <w:rsid w:val="6D151EF0"/>
    <w:rsid w:val="6D191CDD"/>
    <w:rsid w:val="6D22611B"/>
    <w:rsid w:val="6D23784B"/>
    <w:rsid w:val="6D240AF1"/>
    <w:rsid w:val="6D2933D3"/>
    <w:rsid w:val="6D3E2CEF"/>
    <w:rsid w:val="6D563901"/>
    <w:rsid w:val="6D564DD4"/>
    <w:rsid w:val="6D5E77D6"/>
    <w:rsid w:val="6D7454FD"/>
    <w:rsid w:val="6D751B26"/>
    <w:rsid w:val="6D7A3801"/>
    <w:rsid w:val="6D7E1BB3"/>
    <w:rsid w:val="6D967A6A"/>
    <w:rsid w:val="6D98799F"/>
    <w:rsid w:val="6D9919F3"/>
    <w:rsid w:val="6DA31ABE"/>
    <w:rsid w:val="6DB4326F"/>
    <w:rsid w:val="6DB61E3E"/>
    <w:rsid w:val="6DB93285"/>
    <w:rsid w:val="6DC3425B"/>
    <w:rsid w:val="6DCF21D0"/>
    <w:rsid w:val="6DD12A4F"/>
    <w:rsid w:val="6DD63486"/>
    <w:rsid w:val="6DDE66DC"/>
    <w:rsid w:val="6DE62D4F"/>
    <w:rsid w:val="6E000876"/>
    <w:rsid w:val="6E001DCA"/>
    <w:rsid w:val="6E014891"/>
    <w:rsid w:val="6E097405"/>
    <w:rsid w:val="6E101629"/>
    <w:rsid w:val="6E145A7C"/>
    <w:rsid w:val="6E160D9C"/>
    <w:rsid w:val="6E2C098B"/>
    <w:rsid w:val="6E4662DC"/>
    <w:rsid w:val="6E511E37"/>
    <w:rsid w:val="6E525E1B"/>
    <w:rsid w:val="6E5B554A"/>
    <w:rsid w:val="6E5C7D35"/>
    <w:rsid w:val="6E674912"/>
    <w:rsid w:val="6E6A4764"/>
    <w:rsid w:val="6E6D15F6"/>
    <w:rsid w:val="6E7251A5"/>
    <w:rsid w:val="6E746D80"/>
    <w:rsid w:val="6E9821A1"/>
    <w:rsid w:val="6EA2047A"/>
    <w:rsid w:val="6EB02A3D"/>
    <w:rsid w:val="6EB20103"/>
    <w:rsid w:val="6EB5051C"/>
    <w:rsid w:val="6EB61295"/>
    <w:rsid w:val="6ECE7848"/>
    <w:rsid w:val="6ECE78F2"/>
    <w:rsid w:val="6EDD0E4F"/>
    <w:rsid w:val="6EEB289D"/>
    <w:rsid w:val="6EEC2156"/>
    <w:rsid w:val="6EF76E3B"/>
    <w:rsid w:val="6F157F78"/>
    <w:rsid w:val="6F2E4584"/>
    <w:rsid w:val="6F3001A9"/>
    <w:rsid w:val="6F3251AA"/>
    <w:rsid w:val="6F5144F5"/>
    <w:rsid w:val="6F567A8C"/>
    <w:rsid w:val="6F652332"/>
    <w:rsid w:val="6F6B6565"/>
    <w:rsid w:val="6F721BEC"/>
    <w:rsid w:val="6F7826CF"/>
    <w:rsid w:val="6F8C1763"/>
    <w:rsid w:val="6F8F70CC"/>
    <w:rsid w:val="6F972CFB"/>
    <w:rsid w:val="6F9A3481"/>
    <w:rsid w:val="6F9A4FCC"/>
    <w:rsid w:val="6F9C1AEB"/>
    <w:rsid w:val="6F9D047A"/>
    <w:rsid w:val="6F9F28E6"/>
    <w:rsid w:val="6F9F2DC4"/>
    <w:rsid w:val="6FAA3674"/>
    <w:rsid w:val="6FB07698"/>
    <w:rsid w:val="6FBF0BA8"/>
    <w:rsid w:val="6FC11E09"/>
    <w:rsid w:val="6FC23200"/>
    <w:rsid w:val="6FC423D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585328"/>
    <w:rsid w:val="70615274"/>
    <w:rsid w:val="706D4E67"/>
    <w:rsid w:val="708014F1"/>
    <w:rsid w:val="7099331C"/>
    <w:rsid w:val="70A40930"/>
    <w:rsid w:val="70A7716A"/>
    <w:rsid w:val="70A9651D"/>
    <w:rsid w:val="70AA59AD"/>
    <w:rsid w:val="70B60AB8"/>
    <w:rsid w:val="70B8391A"/>
    <w:rsid w:val="70B922F0"/>
    <w:rsid w:val="70C278F5"/>
    <w:rsid w:val="70C45541"/>
    <w:rsid w:val="70C76086"/>
    <w:rsid w:val="70D55D00"/>
    <w:rsid w:val="70DC06A6"/>
    <w:rsid w:val="70DD4BB8"/>
    <w:rsid w:val="70DE06DB"/>
    <w:rsid w:val="70E0562F"/>
    <w:rsid w:val="70FF1E43"/>
    <w:rsid w:val="71083260"/>
    <w:rsid w:val="71092536"/>
    <w:rsid w:val="710F3080"/>
    <w:rsid w:val="712251D1"/>
    <w:rsid w:val="713D4302"/>
    <w:rsid w:val="713D52C3"/>
    <w:rsid w:val="71435AF0"/>
    <w:rsid w:val="714F79B7"/>
    <w:rsid w:val="715C0436"/>
    <w:rsid w:val="716213EE"/>
    <w:rsid w:val="7165132D"/>
    <w:rsid w:val="716D18D5"/>
    <w:rsid w:val="71720E78"/>
    <w:rsid w:val="717824D9"/>
    <w:rsid w:val="717F4D11"/>
    <w:rsid w:val="71805813"/>
    <w:rsid w:val="7188634B"/>
    <w:rsid w:val="71904773"/>
    <w:rsid w:val="71992AB4"/>
    <w:rsid w:val="719965F1"/>
    <w:rsid w:val="71B81D10"/>
    <w:rsid w:val="71B95C18"/>
    <w:rsid w:val="71BB16C3"/>
    <w:rsid w:val="71BB467B"/>
    <w:rsid w:val="71BD3980"/>
    <w:rsid w:val="71BE5BCC"/>
    <w:rsid w:val="71BF1635"/>
    <w:rsid w:val="71C20D86"/>
    <w:rsid w:val="71C417B3"/>
    <w:rsid w:val="71CC6341"/>
    <w:rsid w:val="71D012DA"/>
    <w:rsid w:val="71E63697"/>
    <w:rsid w:val="71F723E8"/>
    <w:rsid w:val="7202528F"/>
    <w:rsid w:val="720C4938"/>
    <w:rsid w:val="720E1E07"/>
    <w:rsid w:val="72196F07"/>
    <w:rsid w:val="721C71DD"/>
    <w:rsid w:val="722B4ADA"/>
    <w:rsid w:val="72317074"/>
    <w:rsid w:val="72342B29"/>
    <w:rsid w:val="723472E2"/>
    <w:rsid w:val="72357F64"/>
    <w:rsid w:val="72386A0D"/>
    <w:rsid w:val="72440BD4"/>
    <w:rsid w:val="726C5886"/>
    <w:rsid w:val="727262A0"/>
    <w:rsid w:val="72793B21"/>
    <w:rsid w:val="727B396C"/>
    <w:rsid w:val="72806500"/>
    <w:rsid w:val="728511DC"/>
    <w:rsid w:val="72904C14"/>
    <w:rsid w:val="72A46F8D"/>
    <w:rsid w:val="72A51479"/>
    <w:rsid w:val="72A73849"/>
    <w:rsid w:val="72A84BC9"/>
    <w:rsid w:val="72AE5873"/>
    <w:rsid w:val="72CC0C1E"/>
    <w:rsid w:val="72F7152C"/>
    <w:rsid w:val="72FA1ED6"/>
    <w:rsid w:val="72FE21A1"/>
    <w:rsid w:val="73096143"/>
    <w:rsid w:val="730E2246"/>
    <w:rsid w:val="73124BBA"/>
    <w:rsid w:val="732C3B50"/>
    <w:rsid w:val="73333454"/>
    <w:rsid w:val="73354371"/>
    <w:rsid w:val="733C27F4"/>
    <w:rsid w:val="733D3183"/>
    <w:rsid w:val="73405D2D"/>
    <w:rsid w:val="73432F84"/>
    <w:rsid w:val="734453F6"/>
    <w:rsid w:val="73463681"/>
    <w:rsid w:val="734D4E6B"/>
    <w:rsid w:val="7359223F"/>
    <w:rsid w:val="735B024A"/>
    <w:rsid w:val="735C71B3"/>
    <w:rsid w:val="7374494E"/>
    <w:rsid w:val="737816A8"/>
    <w:rsid w:val="737C58BE"/>
    <w:rsid w:val="737E55D6"/>
    <w:rsid w:val="737E7075"/>
    <w:rsid w:val="73937D3A"/>
    <w:rsid w:val="739868AF"/>
    <w:rsid w:val="739F17BB"/>
    <w:rsid w:val="73A31C75"/>
    <w:rsid w:val="73AE3CBE"/>
    <w:rsid w:val="73AF49BD"/>
    <w:rsid w:val="73B9514D"/>
    <w:rsid w:val="73BC26E5"/>
    <w:rsid w:val="73C31EC7"/>
    <w:rsid w:val="73C61BF4"/>
    <w:rsid w:val="73CD7CF6"/>
    <w:rsid w:val="73E154A0"/>
    <w:rsid w:val="73F641AB"/>
    <w:rsid w:val="73F74082"/>
    <w:rsid w:val="73F92E98"/>
    <w:rsid w:val="74066082"/>
    <w:rsid w:val="74075260"/>
    <w:rsid w:val="740E2030"/>
    <w:rsid w:val="74144EA0"/>
    <w:rsid w:val="741474A6"/>
    <w:rsid w:val="741D661B"/>
    <w:rsid w:val="74291CE9"/>
    <w:rsid w:val="742A3BDB"/>
    <w:rsid w:val="74347BB6"/>
    <w:rsid w:val="743A3D1F"/>
    <w:rsid w:val="743D334A"/>
    <w:rsid w:val="744426E2"/>
    <w:rsid w:val="745466A7"/>
    <w:rsid w:val="74601BD6"/>
    <w:rsid w:val="74750914"/>
    <w:rsid w:val="74785503"/>
    <w:rsid w:val="74803BAC"/>
    <w:rsid w:val="74822038"/>
    <w:rsid w:val="74830D5C"/>
    <w:rsid w:val="748322C2"/>
    <w:rsid w:val="748C29E9"/>
    <w:rsid w:val="749E3408"/>
    <w:rsid w:val="74A60988"/>
    <w:rsid w:val="74AB4551"/>
    <w:rsid w:val="74B56B58"/>
    <w:rsid w:val="74B94487"/>
    <w:rsid w:val="74CC021E"/>
    <w:rsid w:val="74D34A2A"/>
    <w:rsid w:val="74E0285E"/>
    <w:rsid w:val="74E1195A"/>
    <w:rsid w:val="74E41E18"/>
    <w:rsid w:val="74EE7A3F"/>
    <w:rsid w:val="74F4751F"/>
    <w:rsid w:val="74F94A87"/>
    <w:rsid w:val="74F97E05"/>
    <w:rsid w:val="75010FAB"/>
    <w:rsid w:val="751968C4"/>
    <w:rsid w:val="752341C1"/>
    <w:rsid w:val="755172C5"/>
    <w:rsid w:val="755529D0"/>
    <w:rsid w:val="7567351D"/>
    <w:rsid w:val="75692C6E"/>
    <w:rsid w:val="75760ECB"/>
    <w:rsid w:val="757C1012"/>
    <w:rsid w:val="759A50EE"/>
    <w:rsid w:val="759B6AFB"/>
    <w:rsid w:val="759E4EA7"/>
    <w:rsid w:val="75C068A9"/>
    <w:rsid w:val="75CC0E61"/>
    <w:rsid w:val="75DA3C6D"/>
    <w:rsid w:val="75DB4086"/>
    <w:rsid w:val="75DF68BB"/>
    <w:rsid w:val="75E417B2"/>
    <w:rsid w:val="75E578E2"/>
    <w:rsid w:val="760C7E4B"/>
    <w:rsid w:val="76132FE4"/>
    <w:rsid w:val="76157727"/>
    <w:rsid w:val="762239BB"/>
    <w:rsid w:val="762A014F"/>
    <w:rsid w:val="762B07B0"/>
    <w:rsid w:val="763656E0"/>
    <w:rsid w:val="763865A8"/>
    <w:rsid w:val="763C3EA3"/>
    <w:rsid w:val="76400507"/>
    <w:rsid w:val="76412119"/>
    <w:rsid w:val="764440D9"/>
    <w:rsid w:val="765C674B"/>
    <w:rsid w:val="7663578F"/>
    <w:rsid w:val="768B0366"/>
    <w:rsid w:val="768E55DA"/>
    <w:rsid w:val="769F6C8C"/>
    <w:rsid w:val="76A0160E"/>
    <w:rsid w:val="76A54445"/>
    <w:rsid w:val="76BD097A"/>
    <w:rsid w:val="76C5396B"/>
    <w:rsid w:val="76CE25D0"/>
    <w:rsid w:val="76D64223"/>
    <w:rsid w:val="76D724B4"/>
    <w:rsid w:val="76E30140"/>
    <w:rsid w:val="76E61D96"/>
    <w:rsid w:val="76EB730E"/>
    <w:rsid w:val="76F3665D"/>
    <w:rsid w:val="76F63E3A"/>
    <w:rsid w:val="76F754DC"/>
    <w:rsid w:val="77081597"/>
    <w:rsid w:val="770F2478"/>
    <w:rsid w:val="77363120"/>
    <w:rsid w:val="77481E72"/>
    <w:rsid w:val="775F3709"/>
    <w:rsid w:val="77673DCE"/>
    <w:rsid w:val="777A7A3E"/>
    <w:rsid w:val="777C2047"/>
    <w:rsid w:val="777E72EB"/>
    <w:rsid w:val="77837BFC"/>
    <w:rsid w:val="77872A68"/>
    <w:rsid w:val="778963A8"/>
    <w:rsid w:val="77924C1A"/>
    <w:rsid w:val="7795400E"/>
    <w:rsid w:val="779B62EB"/>
    <w:rsid w:val="77A45D40"/>
    <w:rsid w:val="77A95C32"/>
    <w:rsid w:val="77AB005F"/>
    <w:rsid w:val="77AB1F47"/>
    <w:rsid w:val="77B63286"/>
    <w:rsid w:val="77D719C1"/>
    <w:rsid w:val="77D97597"/>
    <w:rsid w:val="77DF22FF"/>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7603B7"/>
    <w:rsid w:val="78854964"/>
    <w:rsid w:val="788F6B73"/>
    <w:rsid w:val="7891024E"/>
    <w:rsid w:val="78981E14"/>
    <w:rsid w:val="78A16DC0"/>
    <w:rsid w:val="78A64E78"/>
    <w:rsid w:val="78B75002"/>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625528"/>
    <w:rsid w:val="7963001B"/>
    <w:rsid w:val="796411F3"/>
    <w:rsid w:val="796528F1"/>
    <w:rsid w:val="79782668"/>
    <w:rsid w:val="797D7C7B"/>
    <w:rsid w:val="798473C1"/>
    <w:rsid w:val="798D0CB1"/>
    <w:rsid w:val="79A917D5"/>
    <w:rsid w:val="79B75FB8"/>
    <w:rsid w:val="79BC4942"/>
    <w:rsid w:val="79C843FE"/>
    <w:rsid w:val="79F866D7"/>
    <w:rsid w:val="7A0D5030"/>
    <w:rsid w:val="7A1F0B92"/>
    <w:rsid w:val="7A2F0FE2"/>
    <w:rsid w:val="7A2F6A25"/>
    <w:rsid w:val="7A3258CA"/>
    <w:rsid w:val="7A375628"/>
    <w:rsid w:val="7A3B0D02"/>
    <w:rsid w:val="7A3C0448"/>
    <w:rsid w:val="7A462225"/>
    <w:rsid w:val="7A4B1579"/>
    <w:rsid w:val="7A560120"/>
    <w:rsid w:val="7A644184"/>
    <w:rsid w:val="7A9B6D29"/>
    <w:rsid w:val="7A9F5588"/>
    <w:rsid w:val="7AAF3A90"/>
    <w:rsid w:val="7AB01D8D"/>
    <w:rsid w:val="7ABE4F6D"/>
    <w:rsid w:val="7ABF15A2"/>
    <w:rsid w:val="7AC8595C"/>
    <w:rsid w:val="7ACC7622"/>
    <w:rsid w:val="7AD83D61"/>
    <w:rsid w:val="7AD8638B"/>
    <w:rsid w:val="7ADB326D"/>
    <w:rsid w:val="7AE04EF0"/>
    <w:rsid w:val="7AE66DF9"/>
    <w:rsid w:val="7AE9138D"/>
    <w:rsid w:val="7AED226E"/>
    <w:rsid w:val="7AEE2021"/>
    <w:rsid w:val="7AF30762"/>
    <w:rsid w:val="7AF5755C"/>
    <w:rsid w:val="7B0831DB"/>
    <w:rsid w:val="7B127C9A"/>
    <w:rsid w:val="7B132239"/>
    <w:rsid w:val="7B14085D"/>
    <w:rsid w:val="7B21591B"/>
    <w:rsid w:val="7B3525E5"/>
    <w:rsid w:val="7B3B4883"/>
    <w:rsid w:val="7B4868F2"/>
    <w:rsid w:val="7B4F6860"/>
    <w:rsid w:val="7B597F25"/>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64EB9"/>
    <w:rsid w:val="7BE7137F"/>
    <w:rsid w:val="7BF06EC0"/>
    <w:rsid w:val="7BF333D1"/>
    <w:rsid w:val="7BF75441"/>
    <w:rsid w:val="7C036F42"/>
    <w:rsid w:val="7C117788"/>
    <w:rsid w:val="7C18182D"/>
    <w:rsid w:val="7C1C50AC"/>
    <w:rsid w:val="7C1E48E8"/>
    <w:rsid w:val="7C270240"/>
    <w:rsid w:val="7C302A72"/>
    <w:rsid w:val="7C3D63E5"/>
    <w:rsid w:val="7C6762E3"/>
    <w:rsid w:val="7C6C6955"/>
    <w:rsid w:val="7C6F2369"/>
    <w:rsid w:val="7C8A0A6B"/>
    <w:rsid w:val="7C8B2354"/>
    <w:rsid w:val="7C8C4745"/>
    <w:rsid w:val="7C930BAE"/>
    <w:rsid w:val="7CBF7665"/>
    <w:rsid w:val="7CBF7924"/>
    <w:rsid w:val="7CCB2B42"/>
    <w:rsid w:val="7CDF2E23"/>
    <w:rsid w:val="7CE43E8B"/>
    <w:rsid w:val="7CFC37A3"/>
    <w:rsid w:val="7D0522E0"/>
    <w:rsid w:val="7D176CD4"/>
    <w:rsid w:val="7D18193F"/>
    <w:rsid w:val="7D25774B"/>
    <w:rsid w:val="7D30782A"/>
    <w:rsid w:val="7D316BAB"/>
    <w:rsid w:val="7D377A61"/>
    <w:rsid w:val="7D3C36D7"/>
    <w:rsid w:val="7D4E6D0D"/>
    <w:rsid w:val="7D6D7F9D"/>
    <w:rsid w:val="7D737ECC"/>
    <w:rsid w:val="7D7F4D51"/>
    <w:rsid w:val="7D8354C7"/>
    <w:rsid w:val="7D86566A"/>
    <w:rsid w:val="7D941C0F"/>
    <w:rsid w:val="7DAB67A3"/>
    <w:rsid w:val="7DB44B27"/>
    <w:rsid w:val="7DB82B5F"/>
    <w:rsid w:val="7DBF30E5"/>
    <w:rsid w:val="7DC92892"/>
    <w:rsid w:val="7DD3555C"/>
    <w:rsid w:val="7DDC1687"/>
    <w:rsid w:val="7DDC5561"/>
    <w:rsid w:val="7DDF0C12"/>
    <w:rsid w:val="7DE53A1D"/>
    <w:rsid w:val="7DE805EC"/>
    <w:rsid w:val="7E0D1655"/>
    <w:rsid w:val="7E0E4C52"/>
    <w:rsid w:val="7E180D00"/>
    <w:rsid w:val="7E1A5F33"/>
    <w:rsid w:val="7E1B1677"/>
    <w:rsid w:val="7E1B4DBE"/>
    <w:rsid w:val="7E3B0F1A"/>
    <w:rsid w:val="7E4C0278"/>
    <w:rsid w:val="7E554F28"/>
    <w:rsid w:val="7E582A5A"/>
    <w:rsid w:val="7E705793"/>
    <w:rsid w:val="7E8209B3"/>
    <w:rsid w:val="7E851695"/>
    <w:rsid w:val="7E85727B"/>
    <w:rsid w:val="7E865444"/>
    <w:rsid w:val="7E970A59"/>
    <w:rsid w:val="7EA845E3"/>
    <w:rsid w:val="7EAF7104"/>
    <w:rsid w:val="7EB2555F"/>
    <w:rsid w:val="7EB270C2"/>
    <w:rsid w:val="7EB56EAB"/>
    <w:rsid w:val="7EC1307B"/>
    <w:rsid w:val="7ECB20C5"/>
    <w:rsid w:val="7ECB52D2"/>
    <w:rsid w:val="7ED9614C"/>
    <w:rsid w:val="7EEC2601"/>
    <w:rsid w:val="7EF57D73"/>
    <w:rsid w:val="7F0E419C"/>
    <w:rsid w:val="7F1A430A"/>
    <w:rsid w:val="7F1A7380"/>
    <w:rsid w:val="7F1A7D15"/>
    <w:rsid w:val="7F1B6A1F"/>
    <w:rsid w:val="7F1C3521"/>
    <w:rsid w:val="7F1E4033"/>
    <w:rsid w:val="7F2570E5"/>
    <w:rsid w:val="7F2C2C1A"/>
    <w:rsid w:val="7F341C62"/>
    <w:rsid w:val="7F497E6B"/>
    <w:rsid w:val="7F5C2611"/>
    <w:rsid w:val="7F5D1468"/>
    <w:rsid w:val="7F6652E2"/>
    <w:rsid w:val="7F721CC2"/>
    <w:rsid w:val="7F7815B7"/>
    <w:rsid w:val="7F7C5084"/>
    <w:rsid w:val="7F8D6516"/>
    <w:rsid w:val="7F9075B7"/>
    <w:rsid w:val="7F92452E"/>
    <w:rsid w:val="7F9614FF"/>
    <w:rsid w:val="7F9C2851"/>
    <w:rsid w:val="7F9C3B32"/>
    <w:rsid w:val="7FAC4F60"/>
    <w:rsid w:val="7FC00AC8"/>
    <w:rsid w:val="7FCB421A"/>
    <w:rsid w:val="7FCF058D"/>
    <w:rsid w:val="7FD25D7C"/>
    <w:rsid w:val="7FDE5C9E"/>
    <w:rsid w:val="7FE255AB"/>
    <w:rsid w:val="7FE655FC"/>
    <w:rsid w:val="7FE677B0"/>
    <w:rsid w:val="7FE741D2"/>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B5AB6E-123C-46AC-8B49-1ECE8DC41D5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1332</Words>
  <Characters>7593</Characters>
  <Lines>63</Lines>
  <Paragraphs>17</Paragraphs>
  <TotalTime>0</TotalTime>
  <ScaleCrop>false</ScaleCrop>
  <LinksUpToDate>false</LinksUpToDate>
  <CharactersWithSpaces>8908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2019-08-15T23:11:00Z</dcterms:created>
  <dc:creator>10033860</dc:creator>
  <cp:lastModifiedBy>ZTE DF</cp:lastModifiedBy>
  <cp:lastPrinted>2113-01-01T00:00:00Z</cp:lastPrinted>
  <dcterms:modified xsi:type="dcterms:W3CDTF">2019-10-04T05:40:10Z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